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002814FB"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D35037">
        <w:rPr>
          <w:rFonts w:ascii="Arial" w:hAnsi="Arial"/>
          <w:b/>
          <w:lang w:val="en-US"/>
        </w:rPr>
        <w:t>3</w:t>
      </w:r>
      <w:r w:rsidR="00D6375C" w:rsidRPr="00536C1E">
        <w:rPr>
          <w:rFonts w:ascii="Arial" w:hAnsi="Arial"/>
          <w:b/>
          <w:lang w:val="en-US"/>
        </w:rPr>
        <w:tab/>
      </w:r>
      <w:r w:rsidR="008351DE" w:rsidRPr="008351DE">
        <w:rPr>
          <w:rFonts w:ascii="Arial" w:hAnsi="Arial"/>
          <w:b/>
          <w:lang w:val="en-US"/>
        </w:rPr>
        <w:t>R1-1807245</w:t>
      </w:r>
    </w:p>
    <w:p w14:paraId="66354B83" w14:textId="2E8CD500" w:rsidR="00113916" w:rsidRPr="00F97042" w:rsidRDefault="00D35037" w:rsidP="00113916">
      <w:pPr>
        <w:rPr>
          <w:rFonts w:ascii="Arial" w:hAnsi="Arial"/>
          <w:b/>
          <w:lang w:val="en-AU"/>
        </w:rPr>
      </w:pPr>
      <w:r w:rsidRPr="00EA6399">
        <w:rPr>
          <w:rFonts w:ascii="Arial" w:hAnsi="Arial"/>
          <w:b/>
          <w:lang w:val="en-AU"/>
        </w:rPr>
        <w:t>Busan, Korea, May 21st – 25th</w:t>
      </w:r>
      <w:r w:rsidR="00DC48E3" w:rsidRPr="00DC48E3">
        <w:rPr>
          <w:rFonts w:ascii="Arial" w:hAnsi="Arial"/>
          <w:b/>
          <w:lang w:val="en-AU"/>
        </w:rPr>
        <w:t xml:space="preserve">, </w:t>
      </w:r>
      <w:r w:rsidR="00C27270" w:rsidRPr="00C27270">
        <w:rPr>
          <w:rFonts w:ascii="Arial" w:hAnsi="Arial"/>
          <w:b/>
          <w:lang w:val="en-AU"/>
        </w:rPr>
        <w:t>201</w:t>
      </w:r>
      <w:r w:rsidR="00C27270">
        <w:rPr>
          <w:rFonts w:ascii="Arial" w:hAnsi="Arial"/>
          <w:b/>
          <w:lang w:val="en-AU"/>
        </w:rPr>
        <w:t>8</w:t>
      </w:r>
    </w:p>
    <w:p w14:paraId="6E38136F" w14:textId="77777777" w:rsidR="00EB3FDA" w:rsidRDefault="00EB3FDA" w:rsidP="005C17E7">
      <w:pPr>
        <w:tabs>
          <w:tab w:val="left" w:pos="1800"/>
        </w:tabs>
        <w:spacing w:after="60"/>
        <w:rPr>
          <w:b/>
          <w:lang w:val="en-US"/>
        </w:rPr>
      </w:pPr>
    </w:p>
    <w:p w14:paraId="259EC765" w14:textId="46B1697C" w:rsidR="00DD4E7D" w:rsidRPr="00536C1E" w:rsidRDefault="00DD4E7D" w:rsidP="005C17E7">
      <w:pPr>
        <w:tabs>
          <w:tab w:val="left" w:pos="1800"/>
        </w:tabs>
        <w:spacing w:after="60"/>
        <w:rPr>
          <w:rFonts w:eastAsia="MS Mincho"/>
          <w:b/>
          <w:lang w:val="en-US"/>
        </w:rPr>
      </w:pPr>
      <w:r w:rsidRPr="00536C1E">
        <w:rPr>
          <w:b/>
          <w:lang w:val="en-US"/>
        </w:rPr>
        <w:t>Agenda Item:</w:t>
      </w:r>
      <w:r w:rsidRPr="00536C1E">
        <w:rPr>
          <w:b/>
          <w:lang w:val="en-US"/>
        </w:rPr>
        <w:tab/>
      </w:r>
      <w:r w:rsidR="005A48E7">
        <w:rPr>
          <w:b/>
          <w:lang w:val="en-US"/>
        </w:rPr>
        <w:t>6.2.6.</w:t>
      </w:r>
      <w:r w:rsidR="00D35037">
        <w:rPr>
          <w:b/>
          <w:lang w:val="en-US"/>
        </w:rPr>
        <w:t>6</w:t>
      </w:r>
    </w:p>
    <w:p w14:paraId="57542942" w14:textId="77777777" w:rsidR="00DD4E7D" w:rsidRPr="00536C1E" w:rsidRDefault="00DD4E7D" w:rsidP="00DD4E7D">
      <w:pPr>
        <w:tabs>
          <w:tab w:val="left" w:pos="1800"/>
        </w:tabs>
        <w:spacing w:after="60"/>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26D69E0B" w:rsidR="00DD4E7D" w:rsidRPr="00536C1E" w:rsidRDefault="00DD4E7D" w:rsidP="00FB7782">
      <w:pPr>
        <w:tabs>
          <w:tab w:val="left" w:pos="1800"/>
        </w:tabs>
        <w:spacing w:after="60"/>
        <w:ind w:left="1800" w:hanging="1800"/>
        <w:rPr>
          <w:b/>
          <w:lang w:val="en-US"/>
        </w:rPr>
      </w:pPr>
      <w:r w:rsidRPr="00536C1E">
        <w:rPr>
          <w:b/>
          <w:color w:val="000000"/>
          <w:lang w:val="en-US"/>
        </w:rPr>
        <w:t>Title:</w:t>
      </w:r>
      <w:r w:rsidRPr="00536C1E">
        <w:rPr>
          <w:b/>
          <w:color w:val="000000"/>
          <w:lang w:val="en-US"/>
        </w:rPr>
        <w:tab/>
      </w:r>
      <w:r w:rsidR="00D530E1" w:rsidRPr="00D530E1">
        <w:rPr>
          <w:b/>
          <w:color w:val="000000"/>
          <w:lang w:val="en-US"/>
        </w:rPr>
        <w:t>Remaining issues in explicit uplink HARQ-ACK feedback</w:t>
      </w:r>
    </w:p>
    <w:p w14:paraId="1F2902D4" w14:textId="77777777" w:rsidR="00DD4E7D" w:rsidRPr="004A539C" w:rsidRDefault="00DD4E7D" w:rsidP="00DD4E7D">
      <w:pPr>
        <w:tabs>
          <w:tab w:val="left" w:pos="1800"/>
        </w:tabs>
        <w:spacing w:after="60"/>
        <w:rPr>
          <w:b/>
        </w:rPr>
      </w:pPr>
      <w:r w:rsidRPr="004A539C">
        <w:rPr>
          <w:b/>
        </w:rPr>
        <w:t>Document for:</w:t>
      </w:r>
      <w:r w:rsidR="004D2A00" w:rsidRPr="004A539C">
        <w:rPr>
          <w:b/>
        </w:rPr>
        <w:tab/>
        <w:t>Discussion</w:t>
      </w:r>
      <w:r w:rsidR="00E174F6" w:rsidRPr="004A539C">
        <w:rPr>
          <w:b/>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6025AA25" w14:textId="1279C6BE" w:rsidR="00187E09" w:rsidRDefault="00DC48E3" w:rsidP="00226014">
      <w:pPr>
        <w:jc w:val="both"/>
        <w:rPr>
          <w:rFonts w:eastAsia="MS Mincho"/>
          <w:lang w:val="en-US"/>
        </w:rPr>
      </w:pPr>
      <w:r>
        <w:rPr>
          <w:rFonts w:eastAsia="MS Mincho"/>
          <w:lang w:val="en-US"/>
        </w:rPr>
        <w:t>In RAN1#92</w:t>
      </w:r>
      <w:r w:rsidR="00D35037">
        <w:rPr>
          <w:rFonts w:eastAsia="MS Mincho"/>
          <w:lang w:val="en-US"/>
        </w:rPr>
        <w:t>bis</w:t>
      </w:r>
      <w:r>
        <w:rPr>
          <w:rFonts w:eastAsia="MS Mincho"/>
          <w:lang w:val="en-US"/>
        </w:rPr>
        <w:t xml:space="preserve"> we </w:t>
      </w:r>
      <w:r w:rsidR="00082621">
        <w:rPr>
          <w:rFonts w:eastAsia="MS Mincho"/>
          <w:lang w:val="en-US"/>
        </w:rPr>
        <w:t>agreed the following</w:t>
      </w:r>
      <w:r>
        <w:rPr>
          <w:rFonts w:eastAsia="MS Mincho"/>
          <w:lang w:val="en-US"/>
        </w:rPr>
        <w:t>:</w:t>
      </w:r>
    </w:p>
    <w:p w14:paraId="3854EA47" w14:textId="77777777" w:rsidR="00D35037" w:rsidRPr="00D35037" w:rsidRDefault="00D35037" w:rsidP="00D35037">
      <w:pPr>
        <w:ind w:left="284"/>
        <w:rPr>
          <w:rFonts w:eastAsia="SimSun"/>
          <w:i/>
          <w:kern w:val="2"/>
          <w:szCs w:val="20"/>
          <w:lang w:val="en-US" w:eastAsia="zh-CN"/>
        </w:rPr>
      </w:pPr>
      <w:r w:rsidRPr="00D35037">
        <w:rPr>
          <w:rFonts w:eastAsia="SimSun"/>
          <w:i/>
          <w:kern w:val="2"/>
          <w:szCs w:val="20"/>
          <w:lang w:val="en-US" w:eastAsia="zh-CN"/>
        </w:rPr>
        <w:t>The working assumption from RAN1#91 is replaced by the following agreement</w:t>
      </w:r>
    </w:p>
    <w:p w14:paraId="2CAC6DF3" w14:textId="77777777" w:rsidR="00D35037" w:rsidRPr="00D35037" w:rsidRDefault="00D35037" w:rsidP="00D35037">
      <w:pPr>
        <w:widowControl w:val="0"/>
        <w:numPr>
          <w:ilvl w:val="0"/>
          <w:numId w:val="44"/>
        </w:numPr>
        <w:spacing w:after="0" w:line="276" w:lineRule="auto"/>
        <w:ind w:left="704" w:firstLine="147"/>
        <w:jc w:val="both"/>
        <w:rPr>
          <w:rFonts w:eastAsia="Times New Roman"/>
          <w:i/>
          <w:szCs w:val="20"/>
          <w:lang w:val="en-US"/>
        </w:rPr>
      </w:pPr>
      <w:r w:rsidRPr="00D35037">
        <w:rPr>
          <w:rFonts w:eastAsia="MS Mincho"/>
          <w:i/>
          <w:kern w:val="2"/>
          <w:szCs w:val="20"/>
          <w:lang w:val="en-US" w:eastAsia="zh-CN"/>
        </w:rPr>
        <w:t>One unused DCI state in each CE mode is used for indicating:</w:t>
      </w:r>
    </w:p>
    <w:p w14:paraId="6E02DA0B" w14:textId="77777777" w:rsidR="00D35037" w:rsidRPr="00D35037" w:rsidRDefault="00D35037" w:rsidP="00D35037">
      <w:pPr>
        <w:widowControl w:val="0"/>
        <w:numPr>
          <w:ilvl w:val="1"/>
          <w:numId w:val="44"/>
        </w:numPr>
        <w:spacing w:afterLines="50" w:after="120" w:line="276" w:lineRule="auto"/>
        <w:ind w:left="1135" w:hanging="142"/>
        <w:jc w:val="both"/>
        <w:rPr>
          <w:rFonts w:eastAsia="MS Mincho"/>
          <w:i/>
          <w:kern w:val="2"/>
          <w:szCs w:val="20"/>
          <w:lang w:val="en-US" w:eastAsia="zh-CN"/>
        </w:rPr>
      </w:pPr>
      <w:r w:rsidRPr="00D35037">
        <w:rPr>
          <w:rFonts w:eastAsia="MS Mincho"/>
          <w:i/>
          <w:kern w:val="2"/>
          <w:szCs w:val="20"/>
          <w:lang w:val="en-US" w:eastAsia="zh-CN"/>
        </w:rPr>
        <w:t>Early termination of any ongoing PUSCH transmission (without early termination of MPDCCH monitoring except for the case of acknowledging RRC Connection Release, for which MPDCCH monitoring is terminated)</w:t>
      </w:r>
    </w:p>
    <w:p w14:paraId="47424B74" w14:textId="77777777" w:rsidR="00D35037" w:rsidRPr="00D35037" w:rsidRDefault="00D35037" w:rsidP="00D35037">
      <w:pPr>
        <w:overflowPunct w:val="0"/>
        <w:autoSpaceDE w:val="0"/>
        <w:autoSpaceDN w:val="0"/>
        <w:adjustRightInd w:val="0"/>
        <w:spacing w:after="120"/>
        <w:ind w:left="295" w:hanging="11"/>
        <w:jc w:val="both"/>
        <w:textAlignment w:val="baseline"/>
        <w:rPr>
          <w:rFonts w:eastAsia="SimSun"/>
          <w:i/>
          <w:szCs w:val="28"/>
        </w:rPr>
      </w:pPr>
    </w:p>
    <w:p w14:paraId="236EFDF5" w14:textId="77777777" w:rsidR="00D35037" w:rsidRPr="00D35037" w:rsidRDefault="00D35037" w:rsidP="00D35037">
      <w:pPr>
        <w:overflowPunct w:val="0"/>
        <w:autoSpaceDE w:val="0"/>
        <w:autoSpaceDN w:val="0"/>
        <w:adjustRightInd w:val="0"/>
        <w:spacing w:after="120"/>
        <w:ind w:left="295" w:hanging="11"/>
        <w:jc w:val="both"/>
        <w:textAlignment w:val="baseline"/>
        <w:rPr>
          <w:rFonts w:eastAsia="SimSun"/>
          <w:i/>
          <w:szCs w:val="28"/>
        </w:rPr>
      </w:pPr>
      <w:r w:rsidRPr="00D35037">
        <w:rPr>
          <w:rFonts w:eastAsia="SimSun"/>
          <w:i/>
          <w:szCs w:val="28"/>
        </w:rPr>
        <w:t>For the UE-specific UL HARQ-ACK feedback, ACK is indicated by DCI format 6-0A and 6-0B for CE mode A and CE mode B, respectively, by setting all fields except the ones below to default fixed value</w:t>
      </w:r>
    </w:p>
    <w:p w14:paraId="74115D38" w14:textId="77777777" w:rsidR="00D35037" w:rsidRPr="00D35037" w:rsidRDefault="00D35037" w:rsidP="00D35037">
      <w:pPr>
        <w:numPr>
          <w:ilvl w:val="1"/>
          <w:numId w:val="45"/>
        </w:numPr>
        <w:overflowPunct w:val="0"/>
        <w:autoSpaceDE w:val="0"/>
        <w:autoSpaceDN w:val="0"/>
        <w:adjustRightInd w:val="0"/>
        <w:spacing w:afterLines="25" w:after="60" w:line="276" w:lineRule="auto"/>
        <w:jc w:val="both"/>
        <w:textAlignment w:val="baseline"/>
        <w:rPr>
          <w:rFonts w:eastAsia="SimSun"/>
          <w:i/>
          <w:szCs w:val="28"/>
        </w:rPr>
      </w:pPr>
      <w:r w:rsidRPr="00D35037">
        <w:rPr>
          <w:rFonts w:eastAsia="SimSun"/>
          <w:i/>
          <w:szCs w:val="28"/>
        </w:rPr>
        <w:t>‘Flag for format 6-0A/6-1A differentiation’ in CE mode A and ‘Flag for format 6-0B/6-1B differentiation’ in CE mode B</w:t>
      </w:r>
    </w:p>
    <w:p w14:paraId="5932168B" w14:textId="77777777" w:rsidR="00D35037" w:rsidRPr="00D35037" w:rsidRDefault="00D35037" w:rsidP="00D35037">
      <w:pPr>
        <w:numPr>
          <w:ilvl w:val="1"/>
          <w:numId w:val="45"/>
        </w:numPr>
        <w:overflowPunct w:val="0"/>
        <w:autoSpaceDE w:val="0"/>
        <w:autoSpaceDN w:val="0"/>
        <w:adjustRightInd w:val="0"/>
        <w:spacing w:afterLines="25" w:after="60" w:line="276" w:lineRule="auto"/>
        <w:jc w:val="both"/>
        <w:textAlignment w:val="baseline"/>
        <w:rPr>
          <w:rFonts w:eastAsia="SimSun"/>
          <w:i/>
          <w:szCs w:val="28"/>
        </w:rPr>
      </w:pPr>
      <w:r w:rsidRPr="00D35037">
        <w:rPr>
          <w:rFonts w:eastAsia="SimSun"/>
          <w:i/>
          <w:szCs w:val="28"/>
        </w:rPr>
        <w:t>‘</w:t>
      </w:r>
      <w:r w:rsidRPr="00D35037">
        <w:rPr>
          <w:rFonts w:eastAsia="SimSun" w:hint="eastAsia"/>
          <w:i/>
          <w:szCs w:val="28"/>
        </w:rPr>
        <w:t>DCI subframe repetition number</w:t>
      </w:r>
      <w:r w:rsidRPr="00D35037">
        <w:rPr>
          <w:rFonts w:eastAsia="SimSun"/>
          <w:i/>
          <w:szCs w:val="28"/>
        </w:rPr>
        <w:t xml:space="preserve">’ field </w:t>
      </w:r>
    </w:p>
    <w:p w14:paraId="7197AD3B" w14:textId="77777777" w:rsidR="00D35037" w:rsidRPr="00D35037" w:rsidRDefault="00D35037" w:rsidP="00D35037">
      <w:pPr>
        <w:numPr>
          <w:ilvl w:val="1"/>
          <w:numId w:val="45"/>
        </w:numPr>
        <w:overflowPunct w:val="0"/>
        <w:autoSpaceDE w:val="0"/>
        <w:autoSpaceDN w:val="0"/>
        <w:adjustRightInd w:val="0"/>
        <w:spacing w:afterLines="25" w:after="60" w:line="276" w:lineRule="auto"/>
        <w:jc w:val="both"/>
        <w:textAlignment w:val="baseline"/>
        <w:rPr>
          <w:rFonts w:eastAsia="SimSun"/>
          <w:i/>
          <w:szCs w:val="28"/>
        </w:rPr>
      </w:pPr>
      <w:r w:rsidRPr="00D35037">
        <w:rPr>
          <w:rFonts w:eastAsia="SimSun"/>
          <w:i/>
          <w:szCs w:val="28"/>
        </w:rPr>
        <w:t>‘Resource block assignment’ field in DCI format 6-0A and ‘MCS’ field in DCI format 6-0B</w:t>
      </w:r>
    </w:p>
    <w:p w14:paraId="62DDAF5C" w14:textId="77777777" w:rsidR="00D35037" w:rsidRPr="00D35037" w:rsidRDefault="00D35037" w:rsidP="00D35037">
      <w:pPr>
        <w:numPr>
          <w:ilvl w:val="2"/>
          <w:numId w:val="45"/>
        </w:numPr>
        <w:overflowPunct w:val="0"/>
        <w:autoSpaceDE w:val="0"/>
        <w:autoSpaceDN w:val="0"/>
        <w:adjustRightInd w:val="0"/>
        <w:spacing w:afterLines="25" w:after="60" w:line="276" w:lineRule="auto"/>
        <w:ind w:left="2095"/>
        <w:jc w:val="both"/>
        <w:textAlignment w:val="baseline"/>
        <w:rPr>
          <w:rFonts w:eastAsia="SimSun"/>
          <w:i/>
          <w:szCs w:val="28"/>
        </w:rPr>
      </w:pPr>
      <w:r w:rsidRPr="00D35037">
        <w:rPr>
          <w:rFonts w:eastAsia="Yu Mincho" w:hint="eastAsia"/>
          <w:i/>
          <w:szCs w:val="28"/>
        </w:rPr>
        <w:t>V</w:t>
      </w:r>
      <w:r w:rsidRPr="00D35037">
        <w:rPr>
          <w:rFonts w:eastAsia="Yu Mincho"/>
          <w:i/>
          <w:szCs w:val="28"/>
        </w:rPr>
        <w:t>alues; TBD</w:t>
      </w:r>
    </w:p>
    <w:p w14:paraId="6D9D513C" w14:textId="77777777" w:rsidR="00D35037" w:rsidRPr="00D35037" w:rsidRDefault="00D35037" w:rsidP="00D35037">
      <w:pPr>
        <w:ind w:left="295"/>
        <w:rPr>
          <w:rFonts w:eastAsia="Yu Mincho"/>
          <w:i/>
          <w:szCs w:val="28"/>
        </w:rPr>
      </w:pPr>
      <w:r w:rsidRPr="00D35037">
        <w:rPr>
          <w:rFonts w:eastAsia="Yu Mincho" w:hint="eastAsia"/>
          <w:i/>
          <w:szCs w:val="28"/>
        </w:rPr>
        <w:t>N</w:t>
      </w:r>
      <w:r w:rsidRPr="00D35037">
        <w:rPr>
          <w:rFonts w:eastAsia="Yu Mincho"/>
          <w:i/>
          <w:szCs w:val="28"/>
        </w:rPr>
        <w:t xml:space="preserve">ote Exact </w:t>
      </w:r>
      <w:r w:rsidRPr="00D35037">
        <w:rPr>
          <w:rFonts w:eastAsia="SimSun"/>
          <w:i/>
          <w:szCs w:val="28"/>
        </w:rPr>
        <w:t>default fixed value is up to specification editor</w:t>
      </w:r>
    </w:p>
    <w:p w14:paraId="4D7BF0A7" w14:textId="77777777" w:rsidR="0089176E" w:rsidRPr="00741B5C" w:rsidRDefault="0089176E" w:rsidP="0089176E">
      <w:pPr>
        <w:rPr>
          <w:rFonts w:eastAsia="SimSun"/>
          <w:szCs w:val="20"/>
          <w:lang w:val="x-none" w:eastAsia="zh-CN"/>
        </w:rPr>
      </w:pPr>
    </w:p>
    <w:p w14:paraId="3510C9A0" w14:textId="70E925AC" w:rsidR="00DC48E3" w:rsidRDefault="0048405E" w:rsidP="00226014">
      <w:pPr>
        <w:jc w:val="both"/>
        <w:rPr>
          <w:rFonts w:eastAsia="MS Mincho"/>
          <w:lang w:val="en-US"/>
        </w:rPr>
      </w:pPr>
      <w:r>
        <w:rPr>
          <w:rFonts w:eastAsia="Yu Mincho" w:cs="Times"/>
          <w:iCs/>
          <w:szCs w:val="20"/>
          <w:lang w:val="en-US"/>
        </w:rPr>
        <w:t>This contribu</w:t>
      </w:r>
      <w:r w:rsidR="00D35037">
        <w:rPr>
          <w:rFonts w:eastAsia="Yu Mincho" w:cs="Times"/>
          <w:iCs/>
          <w:szCs w:val="20"/>
          <w:lang w:val="en-US"/>
        </w:rPr>
        <w:t>tion discusses remaining issues, i.e. Group Common DCI and the MPDCCH search space for explicit UL HARQ-ACK feedback.</w:t>
      </w:r>
    </w:p>
    <w:p w14:paraId="434C199A" w14:textId="060F6D24" w:rsidR="009C5161" w:rsidRDefault="00843DCB" w:rsidP="009C5161">
      <w:pPr>
        <w:pStyle w:val="Heading1"/>
        <w:numPr>
          <w:ilvl w:val="0"/>
          <w:numId w:val="9"/>
        </w:numPr>
        <w:spacing w:after="120"/>
        <w:ind w:left="357" w:hanging="357"/>
      </w:pPr>
      <w:r>
        <w:t>Discussions</w:t>
      </w:r>
    </w:p>
    <w:p w14:paraId="74FEE140" w14:textId="4A9C58BB" w:rsidR="0089176E" w:rsidRDefault="0089176E" w:rsidP="0089176E">
      <w:pPr>
        <w:pStyle w:val="Heading4"/>
        <w:rPr>
          <w:lang w:val="en-GB"/>
        </w:rPr>
      </w:pPr>
      <w:r>
        <w:t xml:space="preserve">2.1 </w:t>
      </w:r>
      <w:r>
        <w:rPr>
          <w:lang w:val="en-GB"/>
        </w:rPr>
        <w:t>Group Common DCI</w:t>
      </w:r>
    </w:p>
    <w:p w14:paraId="1D63D497" w14:textId="77777777" w:rsidR="0089176E" w:rsidRDefault="0089176E" w:rsidP="0089176E">
      <w:pPr>
        <w:rPr>
          <w:rFonts w:eastAsia="MS Mincho"/>
        </w:rPr>
      </w:pPr>
      <w:r>
        <w:t xml:space="preserve">One of the remaining issues for explicit HARQ-ACK is whether to introduce a Group Common DCI to provide HARQ-ACK feedbacks to multiple UEs.  </w:t>
      </w:r>
      <w:r>
        <w:rPr>
          <w:rFonts w:eastAsia="MS Mincho"/>
        </w:rPr>
        <w:t>The drawbacks in using this scheme are:</w:t>
      </w:r>
    </w:p>
    <w:p w14:paraId="19DF5483" w14:textId="77777777" w:rsidR="0089176E" w:rsidRPr="005610F8" w:rsidRDefault="0089176E" w:rsidP="0089176E">
      <w:pPr>
        <w:pStyle w:val="ListParagraph"/>
        <w:numPr>
          <w:ilvl w:val="0"/>
          <w:numId w:val="36"/>
        </w:numPr>
        <w:rPr>
          <w:rFonts w:eastAsia="MS Mincho"/>
          <w:lang w:val="en-US"/>
        </w:rPr>
      </w:pPr>
      <w:r w:rsidRPr="005610F8">
        <w:rPr>
          <w:rFonts w:eastAsia="MS Mincho"/>
          <w:lang w:val="en-US"/>
        </w:rPr>
        <w:t>The eNB would need to group UEs in the same coverage level so that their feedback can be transmitted in the same DCI since it is not efficient to multiplex UEs in good coverage with those in poor coverage in a single DCI.</w:t>
      </w:r>
    </w:p>
    <w:p w14:paraId="27B9ED26" w14:textId="6B2C5757" w:rsidR="0089176E" w:rsidRPr="005610F8" w:rsidRDefault="0089176E" w:rsidP="0089176E">
      <w:pPr>
        <w:pStyle w:val="ListParagraph"/>
        <w:numPr>
          <w:ilvl w:val="0"/>
          <w:numId w:val="36"/>
        </w:numPr>
        <w:rPr>
          <w:rFonts w:eastAsia="MS Mincho"/>
          <w:lang w:val="en-US"/>
        </w:rPr>
      </w:pPr>
      <w:r w:rsidRPr="005610F8">
        <w:rPr>
          <w:rFonts w:eastAsia="MS Mincho"/>
          <w:lang w:val="en-US"/>
        </w:rPr>
        <w:t xml:space="preserve">It is unclear how this can be used for early termination of PUSCH repetition.  </w:t>
      </w:r>
      <w:r>
        <w:rPr>
          <w:rFonts w:eastAsia="MS Mincho"/>
          <w:lang w:val="en-US"/>
        </w:rPr>
        <w:t>It</w:t>
      </w:r>
      <w:r w:rsidRPr="005610F8">
        <w:rPr>
          <w:rFonts w:eastAsia="MS Mincho"/>
          <w:lang w:val="en-US"/>
        </w:rPr>
        <w:t xml:space="preserve"> is challenging for </w:t>
      </w:r>
      <w:r>
        <w:rPr>
          <w:rFonts w:eastAsia="MS Mincho"/>
          <w:lang w:val="en-US"/>
        </w:rPr>
        <w:t xml:space="preserve">the </w:t>
      </w:r>
      <w:r w:rsidRPr="005610F8">
        <w:rPr>
          <w:rFonts w:eastAsia="MS Mincho"/>
          <w:lang w:val="en-US"/>
        </w:rPr>
        <w:t xml:space="preserve">scheduler to ensure </w:t>
      </w:r>
      <w:r>
        <w:rPr>
          <w:rFonts w:eastAsia="MS Mincho"/>
          <w:lang w:val="en-US"/>
        </w:rPr>
        <w:t xml:space="preserve">that </w:t>
      </w:r>
      <w:r w:rsidRPr="005610F8">
        <w:rPr>
          <w:rFonts w:eastAsia="MS Mincho"/>
          <w:lang w:val="en-US"/>
        </w:rPr>
        <w:t xml:space="preserve">all PUSCH </w:t>
      </w:r>
      <w:r>
        <w:rPr>
          <w:rFonts w:eastAsia="MS Mincho"/>
          <w:lang w:val="en-US"/>
        </w:rPr>
        <w:t xml:space="preserve">end </w:t>
      </w:r>
      <w:r w:rsidRPr="005610F8">
        <w:rPr>
          <w:rFonts w:eastAsia="MS Mincho"/>
          <w:lang w:val="en-US"/>
        </w:rPr>
        <w:t>at the same time including those with early PUSCH termination.</w:t>
      </w:r>
    </w:p>
    <w:p w14:paraId="22CB9031" w14:textId="77777777" w:rsidR="0089176E" w:rsidRPr="005610F8" w:rsidRDefault="0089176E" w:rsidP="0089176E">
      <w:pPr>
        <w:pStyle w:val="ListParagraph"/>
        <w:numPr>
          <w:ilvl w:val="0"/>
          <w:numId w:val="36"/>
        </w:numPr>
        <w:rPr>
          <w:rFonts w:eastAsia="MS Mincho"/>
          <w:lang w:val="en-US"/>
        </w:rPr>
      </w:pPr>
      <w:r w:rsidRPr="005610F8">
        <w:rPr>
          <w:rFonts w:eastAsia="MS Mincho"/>
          <w:lang w:val="en-US"/>
        </w:rPr>
        <w:lastRenderedPageBreak/>
        <w:t xml:space="preserve">Multiplexing of multiple UEs would lead to a larger than required DCI size leading to higher repetitions for each individual UE. </w:t>
      </w:r>
    </w:p>
    <w:p w14:paraId="5179D990" w14:textId="12D86CF2" w:rsidR="0089176E" w:rsidRDefault="0089176E" w:rsidP="0089176E">
      <w:r>
        <w:t>In [1] it is proposed that each HARQ-ACK feedback field in a GC-DCI acknowledges a specific PUSCH resourc</w:t>
      </w:r>
      <w:r w:rsidR="00C04F41">
        <w:t>e and hence the eNB does not need to perform prior UE grouping into a GC-DCI.  However, there can be a lot of PUSCH resources that can be used in a system bandwidth which may either mean that the GC-DCI would need a lot of fields</w:t>
      </w:r>
      <w:r w:rsidR="005F4DD0">
        <w:t>,</w:t>
      </w:r>
      <w:r w:rsidR="00C04F41">
        <w:t xml:space="preserve"> one for each PRB in the system bandwidth</w:t>
      </w:r>
      <w:r w:rsidR="005F4DD0">
        <w:t>,</w:t>
      </w:r>
      <w:r w:rsidR="00C04F41">
        <w:t xml:space="preserve"> or there need to be some restrictions imposed on which PUSCH resource</w:t>
      </w:r>
      <w:r w:rsidR="005F4DD0">
        <w:t>s</w:t>
      </w:r>
      <w:r w:rsidR="00C04F41">
        <w:t xml:space="preserve"> can be allocated.  Furthermore this does not address issues 2 and 3 above.</w:t>
      </w:r>
    </w:p>
    <w:p w14:paraId="76DF2DE6" w14:textId="77777777" w:rsidR="00C04F41" w:rsidRPr="004E6386" w:rsidRDefault="00C04F41" w:rsidP="00C04F41">
      <w:pPr>
        <w:rPr>
          <w:rFonts w:eastAsia="MS Mincho"/>
          <w:b/>
          <w:lang w:val="en-US"/>
        </w:rPr>
      </w:pPr>
      <w:r w:rsidRPr="004E6386">
        <w:rPr>
          <w:rFonts w:eastAsia="MS Mincho"/>
          <w:b/>
          <w:lang w:val="en-US"/>
        </w:rPr>
        <w:t>Observation 1: Multiplexing UL HARQ-ACK feedbacks for multiple UEs in a single common DCI is not efficient and may increase scheduler complexity.</w:t>
      </w:r>
    </w:p>
    <w:p w14:paraId="6AF0B807" w14:textId="77777777" w:rsidR="00C04F41" w:rsidRDefault="00C04F41" w:rsidP="00C04F41">
      <w:pPr>
        <w:rPr>
          <w:rFonts w:eastAsia="MS Mincho"/>
          <w:b/>
          <w:lang w:val="en-US"/>
        </w:rPr>
      </w:pPr>
      <w:r w:rsidRPr="004E6386">
        <w:rPr>
          <w:rFonts w:eastAsia="MS Mincho"/>
          <w:b/>
          <w:lang w:val="en-US"/>
        </w:rPr>
        <w:t xml:space="preserve">Proposal </w:t>
      </w:r>
      <w:r>
        <w:rPr>
          <w:rFonts w:eastAsia="MS Mincho"/>
          <w:b/>
          <w:lang w:val="en-US"/>
        </w:rPr>
        <w:t>1</w:t>
      </w:r>
      <w:r w:rsidRPr="004E6386">
        <w:rPr>
          <w:rFonts w:eastAsia="MS Mincho"/>
          <w:b/>
          <w:lang w:val="en-US"/>
        </w:rPr>
        <w:t xml:space="preserve">: The explicit UL HARQ-ACK feedback is carried </w:t>
      </w:r>
      <w:r>
        <w:rPr>
          <w:rFonts w:eastAsia="MS Mincho"/>
          <w:b/>
          <w:lang w:val="en-US"/>
        </w:rPr>
        <w:t xml:space="preserve">only </w:t>
      </w:r>
      <w:r w:rsidRPr="004E6386">
        <w:rPr>
          <w:rFonts w:eastAsia="MS Mincho"/>
          <w:b/>
          <w:lang w:val="en-US"/>
        </w:rPr>
        <w:t>by a UE specific DCI.</w:t>
      </w:r>
    </w:p>
    <w:p w14:paraId="1EDA58EA" w14:textId="77777777" w:rsidR="008438B0" w:rsidRPr="004E6386" w:rsidRDefault="008438B0" w:rsidP="00C04F41">
      <w:pPr>
        <w:rPr>
          <w:rFonts w:eastAsia="MS Mincho"/>
          <w:b/>
          <w:lang w:val="en-US"/>
        </w:rPr>
      </w:pPr>
    </w:p>
    <w:p w14:paraId="7B040F38" w14:textId="3AB8FA83" w:rsidR="00C04F41" w:rsidRDefault="00C04F41" w:rsidP="00C04F41">
      <w:pPr>
        <w:pStyle w:val="Heading4"/>
        <w:rPr>
          <w:lang w:val="en-GB"/>
        </w:rPr>
      </w:pPr>
      <w:r>
        <w:t>2.</w:t>
      </w:r>
      <w:r>
        <w:rPr>
          <w:lang w:val="en-GB"/>
        </w:rPr>
        <w:t>2</w:t>
      </w:r>
      <w:r>
        <w:t xml:space="preserve"> </w:t>
      </w:r>
      <w:r>
        <w:rPr>
          <w:lang w:val="en-GB"/>
        </w:rPr>
        <w:t>MPDCCH Search Space for Early Repetition Termination (ERT)</w:t>
      </w:r>
    </w:p>
    <w:p w14:paraId="47D817EB" w14:textId="4DEE6789" w:rsidR="00D35037" w:rsidRDefault="00D35037" w:rsidP="00D35037">
      <w:pPr>
        <w:rPr>
          <w:rFonts w:eastAsia="MS Mincho"/>
          <w:lang w:val="en-US"/>
        </w:rPr>
      </w:pPr>
      <w:r>
        <w:rPr>
          <w:rFonts w:eastAsia="MS Mincho"/>
          <w:lang w:val="en-US"/>
        </w:rPr>
        <w:t xml:space="preserve">In [2], we noted that the explicit UL HARQ-ACK feedback for ERT can be transmitted using the current USS including the remaining candidates in the search space that schedules the PUSCH.  The ERT can be transmitted using MPDCCH candidates of the existing USS that overlap the PUSCH transmission.  For example in </w:t>
      </w:r>
      <w:r>
        <w:rPr>
          <w:rFonts w:eastAsia="MS Mincho"/>
          <w:lang w:val="en-US"/>
        </w:rPr>
        <w:fldChar w:fldCharType="begin"/>
      </w:r>
      <w:r>
        <w:rPr>
          <w:rFonts w:eastAsia="MS Mincho"/>
          <w:lang w:val="en-US"/>
        </w:rPr>
        <w:instrText xml:space="preserve"> REF _Ref513740043 \h </w:instrText>
      </w:r>
      <w:r>
        <w:rPr>
          <w:rFonts w:eastAsia="MS Mincho"/>
          <w:lang w:val="en-US"/>
        </w:rPr>
      </w:r>
      <w:r>
        <w:rPr>
          <w:rFonts w:eastAsia="MS Mincho"/>
          <w:lang w:val="en-US"/>
        </w:rPr>
        <w:fldChar w:fldCharType="separate"/>
      </w:r>
      <w:r>
        <w:t xml:space="preserve">Figure </w:t>
      </w:r>
      <w:r>
        <w:rPr>
          <w:noProof/>
        </w:rPr>
        <w:t>1</w:t>
      </w:r>
      <w:r>
        <w:rPr>
          <w:rFonts w:eastAsia="MS Mincho"/>
          <w:lang w:val="en-US"/>
        </w:rPr>
        <w:fldChar w:fldCharType="end"/>
      </w:r>
      <w:r>
        <w:rPr>
          <w:rFonts w:eastAsia="MS Mincho"/>
          <w:lang w:val="en-US"/>
        </w:rPr>
        <w:t xml:space="preserve">, we have an MPDCCH SS with periodicity of </w:t>
      </w:r>
      <w:r w:rsidRPr="00A951F8">
        <w:rPr>
          <w:rFonts w:eastAsia="MS Mincho"/>
          <w:i/>
          <w:lang w:val="en-US"/>
        </w:rPr>
        <w:t>P</w:t>
      </w:r>
      <w:r w:rsidRPr="00A951F8">
        <w:rPr>
          <w:rFonts w:eastAsia="MS Mincho"/>
          <w:i/>
          <w:vertAlign w:val="subscript"/>
          <w:lang w:val="en-US"/>
        </w:rPr>
        <w:t>MPDCCH</w:t>
      </w:r>
      <w:r>
        <w:rPr>
          <w:rFonts w:eastAsia="MS Mincho"/>
          <w:lang w:val="en-US"/>
        </w:rPr>
        <w:t xml:space="preserve"> and offset </w:t>
      </w:r>
      <w:r w:rsidRPr="00A951F8">
        <w:rPr>
          <w:rFonts w:eastAsia="MS Mincho"/>
          <w:i/>
          <w:lang w:val="en-US"/>
        </w:rPr>
        <w:t>O</w:t>
      </w:r>
      <w:r w:rsidRPr="00A951F8">
        <w:rPr>
          <w:rFonts w:eastAsia="MS Mincho"/>
          <w:i/>
          <w:vertAlign w:val="subscript"/>
          <w:lang w:val="en-US"/>
        </w:rPr>
        <w:t>MPDCCH</w:t>
      </w:r>
      <w:r>
        <w:rPr>
          <w:rFonts w:eastAsia="MS Mincho"/>
          <w:lang w:val="en-US"/>
        </w:rPr>
        <w:t xml:space="preserve">.  At time </w:t>
      </w:r>
      <w:r w:rsidRPr="00A951F8">
        <w:rPr>
          <w:rFonts w:eastAsia="MS Mincho"/>
          <w:i/>
          <w:lang w:val="en-US"/>
        </w:rPr>
        <w:t>t</w:t>
      </w:r>
      <w:r w:rsidRPr="00A951F8">
        <w:rPr>
          <w:rFonts w:eastAsia="MS Mincho"/>
          <w:vertAlign w:val="subscript"/>
          <w:lang w:val="en-US"/>
        </w:rPr>
        <w:t>1</w:t>
      </w:r>
      <w:r>
        <w:rPr>
          <w:rFonts w:eastAsia="MS Mincho"/>
          <w:lang w:val="en-US"/>
        </w:rPr>
        <w:t xml:space="preserve">, the UE receives an uplink grant from an MPDCCH candidate with repetition </w:t>
      </w:r>
      <w:r w:rsidRPr="00A951F8">
        <w:rPr>
          <w:rFonts w:eastAsia="MS Mincho"/>
          <w:i/>
          <w:lang w:val="en-US"/>
        </w:rPr>
        <w:t>R</w:t>
      </w:r>
      <w:r w:rsidRPr="00A951F8">
        <w:rPr>
          <w:rFonts w:eastAsia="MS Mincho"/>
          <w:vertAlign w:val="subscript"/>
          <w:lang w:val="en-US"/>
        </w:rPr>
        <w:t>1</w:t>
      </w:r>
      <w:r>
        <w:rPr>
          <w:rFonts w:eastAsia="MS Mincho"/>
          <w:lang w:val="en-US"/>
        </w:rPr>
        <w:t xml:space="preserve"> shown highlighted in blue, which schedules a PUSCH transmission of </w:t>
      </w:r>
      <w:r w:rsidRPr="00A951F8">
        <w:rPr>
          <w:rFonts w:eastAsia="MS Mincho"/>
          <w:i/>
          <w:lang w:val="en-US"/>
        </w:rPr>
        <w:t>R</w:t>
      </w:r>
      <w:r w:rsidRPr="00A951F8">
        <w:rPr>
          <w:rFonts w:eastAsia="MS Mincho"/>
          <w:i/>
          <w:vertAlign w:val="subscript"/>
          <w:lang w:val="en-US"/>
        </w:rPr>
        <w:t>PUSCH</w:t>
      </w:r>
      <w:r>
        <w:rPr>
          <w:rFonts w:eastAsia="MS Mincho"/>
          <w:lang w:val="en-US"/>
        </w:rPr>
        <w:t xml:space="preserve"> repetitions that starts at time </w:t>
      </w:r>
      <w:r w:rsidRPr="00A951F8">
        <w:rPr>
          <w:rFonts w:eastAsia="MS Mincho"/>
          <w:i/>
          <w:lang w:val="en-US"/>
        </w:rPr>
        <w:t>t</w:t>
      </w:r>
      <w:r w:rsidRPr="00A951F8">
        <w:rPr>
          <w:rFonts w:eastAsia="MS Mincho"/>
          <w:vertAlign w:val="subscript"/>
          <w:lang w:val="en-US"/>
        </w:rPr>
        <w:t>2</w:t>
      </w:r>
      <w:r>
        <w:rPr>
          <w:rFonts w:eastAsia="MS Mincho"/>
          <w:lang w:val="en-US"/>
        </w:rPr>
        <w:t xml:space="preserve">.  It can be observed that there are MPDCCH candidates that overlap this PUSCH transmission between time </w:t>
      </w:r>
      <w:r w:rsidRPr="00A951F8">
        <w:rPr>
          <w:rFonts w:eastAsia="MS Mincho"/>
          <w:i/>
          <w:lang w:val="en-US"/>
        </w:rPr>
        <w:t>t</w:t>
      </w:r>
      <w:r w:rsidRPr="00A951F8">
        <w:rPr>
          <w:rFonts w:eastAsia="MS Mincho"/>
          <w:vertAlign w:val="subscript"/>
          <w:lang w:val="en-US"/>
        </w:rPr>
        <w:t>3</w:t>
      </w:r>
      <w:r>
        <w:rPr>
          <w:rFonts w:eastAsia="MS Mincho"/>
          <w:lang w:val="en-US"/>
        </w:rPr>
        <w:t xml:space="preserve"> and </w:t>
      </w:r>
      <w:r w:rsidRPr="00A951F8">
        <w:rPr>
          <w:rFonts w:eastAsia="MS Mincho"/>
          <w:i/>
          <w:lang w:val="en-US"/>
        </w:rPr>
        <w:t>t</w:t>
      </w:r>
      <w:r>
        <w:rPr>
          <w:rFonts w:eastAsia="MS Mincho"/>
          <w:vertAlign w:val="subscript"/>
          <w:lang w:val="en-US"/>
        </w:rPr>
        <w:t>8</w:t>
      </w:r>
      <w:r>
        <w:rPr>
          <w:rFonts w:eastAsia="MS Mincho"/>
          <w:lang w:val="en-US"/>
        </w:rPr>
        <w:t xml:space="preserve"> highlighted in beige.  These candidates, which consist of </w:t>
      </w:r>
      <w:r w:rsidR="005A323B">
        <w:rPr>
          <w:rFonts w:eastAsia="MS Mincho"/>
          <w:lang w:val="en-US"/>
        </w:rPr>
        <w:t xml:space="preserve">(1) </w:t>
      </w:r>
      <w:r>
        <w:rPr>
          <w:rFonts w:eastAsia="MS Mincho"/>
          <w:lang w:val="en-US"/>
        </w:rPr>
        <w:t xml:space="preserve">the remaining MPDCCH </w:t>
      </w:r>
      <w:r w:rsidR="005A323B">
        <w:rPr>
          <w:rFonts w:eastAsia="MS Mincho"/>
          <w:lang w:val="en-US"/>
        </w:rPr>
        <w:t xml:space="preserve">in the search space </w:t>
      </w:r>
      <w:r>
        <w:rPr>
          <w:rFonts w:eastAsia="MS Mincho"/>
          <w:lang w:val="en-US"/>
        </w:rPr>
        <w:t xml:space="preserve">that schedules the uplink grant (i.e. unblocked candidates) and </w:t>
      </w:r>
      <w:r w:rsidR="005A323B">
        <w:rPr>
          <w:rFonts w:eastAsia="MS Mincho"/>
          <w:lang w:val="en-US"/>
        </w:rPr>
        <w:t xml:space="preserve">(2) </w:t>
      </w:r>
      <w:r>
        <w:rPr>
          <w:rFonts w:eastAsia="MS Mincho"/>
          <w:lang w:val="en-US"/>
        </w:rPr>
        <w:t xml:space="preserve">those in </w:t>
      </w:r>
      <w:r w:rsidR="005A323B">
        <w:rPr>
          <w:rFonts w:eastAsia="MS Mincho"/>
          <w:lang w:val="en-US"/>
        </w:rPr>
        <w:t xml:space="preserve">the </w:t>
      </w:r>
      <w:r>
        <w:rPr>
          <w:rFonts w:eastAsia="MS Mincho"/>
          <w:lang w:val="en-US"/>
        </w:rPr>
        <w:t xml:space="preserve">subsequent MPDCCH </w:t>
      </w:r>
      <w:r w:rsidR="005A323B">
        <w:rPr>
          <w:rFonts w:eastAsia="MS Mincho"/>
          <w:lang w:val="en-US"/>
        </w:rPr>
        <w:t>search space</w:t>
      </w:r>
      <w:r>
        <w:rPr>
          <w:rFonts w:eastAsia="MS Mincho"/>
          <w:lang w:val="en-US"/>
        </w:rPr>
        <w:t>, can act as a search space for the transmission of ERT.</w:t>
      </w:r>
    </w:p>
    <w:p w14:paraId="481A5F53" w14:textId="77777777" w:rsidR="00D35037" w:rsidRDefault="00D35037" w:rsidP="00D35037">
      <w:pPr>
        <w:rPr>
          <w:rFonts w:eastAsia="MS Mincho"/>
          <w:lang w:val="en-US"/>
        </w:rPr>
      </w:pPr>
    </w:p>
    <w:p w14:paraId="36C7BB89" w14:textId="77777777" w:rsidR="00D35037" w:rsidRPr="00A951F8" w:rsidRDefault="00D35037" w:rsidP="00D35037">
      <w:pPr>
        <w:jc w:val="center"/>
        <w:rPr>
          <w:rFonts w:eastAsia="MS Mincho"/>
          <w:lang w:val="en-US"/>
        </w:rPr>
      </w:pPr>
      <w:r>
        <w:rPr>
          <w:rFonts w:eastAsia="MS Mincho"/>
          <w:noProof/>
          <w:lang w:eastAsia="en-GB"/>
        </w:rPr>
        <w:drawing>
          <wp:inline distT="0" distB="0" distL="0" distR="0" wp14:anchorId="3E451D42" wp14:editId="7C804B88">
            <wp:extent cx="5749290" cy="2834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49290" cy="2834640"/>
                    </a:xfrm>
                    <a:prstGeom prst="rect">
                      <a:avLst/>
                    </a:prstGeom>
                    <a:noFill/>
                  </pic:spPr>
                </pic:pic>
              </a:graphicData>
            </a:graphic>
          </wp:inline>
        </w:drawing>
      </w:r>
    </w:p>
    <w:p w14:paraId="27723C14" w14:textId="77777777" w:rsidR="00D35037" w:rsidRDefault="00D35037" w:rsidP="00D35037">
      <w:pPr>
        <w:pStyle w:val="Caption"/>
        <w:jc w:val="center"/>
      </w:pPr>
      <w:bookmarkStart w:id="13" w:name="_Ref513740043"/>
      <w:r>
        <w:t xml:space="preserve">Figure </w:t>
      </w:r>
      <w:r w:rsidR="00090653">
        <w:fldChar w:fldCharType="begin"/>
      </w:r>
      <w:r w:rsidR="00090653">
        <w:instrText xml:space="preserve"> SEQ Figure \* ARABIC </w:instrText>
      </w:r>
      <w:r w:rsidR="00090653">
        <w:fldChar w:fldCharType="separate"/>
      </w:r>
      <w:r>
        <w:rPr>
          <w:noProof/>
        </w:rPr>
        <w:t>1</w:t>
      </w:r>
      <w:r w:rsidR="00090653">
        <w:rPr>
          <w:noProof/>
        </w:rPr>
        <w:fldChar w:fldCharType="end"/>
      </w:r>
      <w:bookmarkEnd w:id="13"/>
      <w:r>
        <w:t>: Using overlapping candidates for transmission of ERT</w:t>
      </w:r>
    </w:p>
    <w:p w14:paraId="6477A5C7" w14:textId="77777777" w:rsidR="00D35037" w:rsidRPr="00307345" w:rsidRDefault="00D35037" w:rsidP="00D35037">
      <w:pPr>
        <w:rPr>
          <w:lang w:val="en-US"/>
        </w:rPr>
      </w:pPr>
    </w:p>
    <w:p w14:paraId="5D1FAD51" w14:textId="273ACFBF" w:rsidR="00D35037" w:rsidRDefault="00D35037" w:rsidP="00D35037">
      <w:pPr>
        <w:rPr>
          <w:rFonts w:eastAsia="MS Mincho"/>
          <w:b/>
          <w:lang w:val="en-US"/>
        </w:rPr>
      </w:pPr>
      <w:r>
        <w:rPr>
          <w:rFonts w:eastAsia="MS Mincho"/>
          <w:b/>
          <w:lang w:val="en-US"/>
        </w:rPr>
        <w:lastRenderedPageBreak/>
        <w:t xml:space="preserve">Observation </w:t>
      </w:r>
      <w:r w:rsidR="008438B0">
        <w:rPr>
          <w:rFonts w:eastAsia="MS Mincho"/>
          <w:b/>
          <w:lang w:val="en-US"/>
        </w:rPr>
        <w:t>2</w:t>
      </w:r>
      <w:r>
        <w:rPr>
          <w:rFonts w:eastAsia="MS Mincho"/>
          <w:b/>
          <w:lang w:val="en-US"/>
        </w:rPr>
        <w:t>: The MDPDCCH candidates that overlap the PUSCH transmission can be monitored for Early PUSCH Repetition Termination indicator.</w:t>
      </w:r>
    </w:p>
    <w:p w14:paraId="2348D717" w14:textId="77777777" w:rsidR="00D35037" w:rsidRDefault="00D35037" w:rsidP="00D35037">
      <w:pPr>
        <w:rPr>
          <w:rFonts w:eastAsia="MS Mincho"/>
          <w:lang w:val="en-US"/>
        </w:rPr>
      </w:pPr>
    </w:p>
    <w:p w14:paraId="3C705EF4" w14:textId="4E06E197" w:rsidR="00D35037" w:rsidRDefault="00D35037" w:rsidP="00D35037">
      <w:pPr>
        <w:rPr>
          <w:rFonts w:eastAsia="MS Mincho"/>
          <w:lang w:val="en-US"/>
        </w:rPr>
      </w:pPr>
      <w:r>
        <w:rPr>
          <w:rFonts w:eastAsia="MS Mincho"/>
          <w:lang w:val="en-US"/>
        </w:rPr>
        <w:t xml:space="preserve">Referring to </w:t>
      </w:r>
      <w:r w:rsidR="008438B0">
        <w:rPr>
          <w:rFonts w:eastAsia="MS Mincho"/>
          <w:lang w:val="en-US"/>
        </w:rPr>
        <w:fldChar w:fldCharType="begin"/>
      </w:r>
      <w:r w:rsidR="008438B0">
        <w:rPr>
          <w:rFonts w:eastAsia="MS Mincho"/>
          <w:lang w:val="en-US"/>
        </w:rPr>
        <w:instrText xml:space="preserve"> REF _Ref513740043 \h </w:instrText>
      </w:r>
      <w:r w:rsidR="008438B0">
        <w:rPr>
          <w:rFonts w:eastAsia="MS Mincho"/>
          <w:lang w:val="en-US"/>
        </w:rPr>
      </w:r>
      <w:r w:rsidR="008438B0">
        <w:rPr>
          <w:rFonts w:eastAsia="MS Mincho"/>
          <w:lang w:val="en-US"/>
        </w:rPr>
        <w:fldChar w:fldCharType="separate"/>
      </w:r>
      <w:r w:rsidR="005A323B">
        <w:t xml:space="preserve">Figure </w:t>
      </w:r>
      <w:r w:rsidR="005A323B">
        <w:rPr>
          <w:noProof/>
        </w:rPr>
        <w:t>1</w:t>
      </w:r>
      <w:r w:rsidR="008438B0">
        <w:rPr>
          <w:rFonts w:eastAsia="MS Mincho"/>
          <w:lang w:val="en-US"/>
        </w:rPr>
        <w:fldChar w:fldCharType="end"/>
      </w:r>
      <w:r>
        <w:rPr>
          <w:rFonts w:eastAsia="MS Mincho"/>
          <w:lang w:val="en-US"/>
        </w:rPr>
        <w:t xml:space="preserve"> again, it can be observed that there isn’t much point monitoring for an ERT if it is carried by the MPDCCH candidate starting at time </w:t>
      </w:r>
      <w:r w:rsidRPr="00307345">
        <w:rPr>
          <w:rFonts w:eastAsia="MS Mincho"/>
          <w:i/>
          <w:lang w:val="en-US"/>
        </w:rPr>
        <w:t>t</w:t>
      </w:r>
      <w:r w:rsidRPr="00307345">
        <w:rPr>
          <w:rFonts w:eastAsia="MS Mincho"/>
          <w:vertAlign w:val="subscript"/>
          <w:lang w:val="en-US"/>
        </w:rPr>
        <w:t>7</w:t>
      </w:r>
      <w:r>
        <w:rPr>
          <w:rFonts w:eastAsia="MS Mincho"/>
          <w:lang w:val="en-US"/>
        </w:rPr>
        <w:t xml:space="preserve"> with repetition </w:t>
      </w:r>
      <w:r w:rsidRPr="00307345">
        <w:rPr>
          <w:rFonts w:eastAsia="MS Mincho"/>
          <w:i/>
          <w:lang w:val="en-US"/>
        </w:rPr>
        <w:t>R</w:t>
      </w:r>
      <w:r w:rsidRPr="00307345">
        <w:rPr>
          <w:rFonts w:eastAsia="MS Mincho"/>
          <w:vertAlign w:val="subscript"/>
          <w:lang w:val="en-US"/>
        </w:rPr>
        <w:t>1</w:t>
      </w:r>
      <w:r>
        <w:rPr>
          <w:rFonts w:eastAsia="MS Mincho"/>
          <w:lang w:val="en-US"/>
        </w:rPr>
        <w:t xml:space="preserve">, since by the time the ERT is received at the UE, the PUSCH transmission would have ended.  Similarly some candidates that occur at the beginning of the PUSCH transmission are also not suitable since the PUSCH is not expected to be received successfully at this early stage.  Hence, we can exclude these candidates, for example in </w:t>
      </w:r>
      <w:r w:rsidR="005A323B">
        <w:rPr>
          <w:rFonts w:eastAsia="MS Mincho"/>
          <w:lang w:val="en-US"/>
        </w:rPr>
        <w:fldChar w:fldCharType="begin"/>
      </w:r>
      <w:r w:rsidR="005A323B">
        <w:rPr>
          <w:rFonts w:eastAsia="MS Mincho"/>
          <w:lang w:val="en-US"/>
        </w:rPr>
        <w:instrText xml:space="preserve"> REF _Ref513740295 \h </w:instrText>
      </w:r>
      <w:r w:rsidR="005A323B">
        <w:rPr>
          <w:rFonts w:eastAsia="MS Mincho"/>
          <w:lang w:val="en-US"/>
        </w:rPr>
      </w:r>
      <w:r w:rsidR="005A323B">
        <w:rPr>
          <w:rFonts w:eastAsia="MS Mincho"/>
          <w:lang w:val="en-US"/>
        </w:rPr>
        <w:fldChar w:fldCharType="separate"/>
      </w:r>
      <w:r w:rsidR="005A323B">
        <w:t xml:space="preserve">Figure </w:t>
      </w:r>
      <w:r w:rsidR="005A323B">
        <w:rPr>
          <w:noProof/>
        </w:rPr>
        <w:t>2</w:t>
      </w:r>
      <w:r w:rsidR="005A323B">
        <w:rPr>
          <w:rFonts w:eastAsia="MS Mincho"/>
          <w:lang w:val="en-US"/>
        </w:rPr>
        <w:fldChar w:fldCharType="end"/>
      </w:r>
      <w:r>
        <w:rPr>
          <w:rFonts w:eastAsia="MS Mincho"/>
          <w:lang w:val="en-US"/>
        </w:rPr>
        <w:t xml:space="preserve"> we do not include all candidates that overlap the PUSCH transmission but exclude those that are within </w:t>
      </w:r>
      <w:r w:rsidRPr="0039410E">
        <w:rPr>
          <w:rFonts w:eastAsia="MS Mincho"/>
          <w:i/>
          <w:lang w:val="en-US"/>
        </w:rPr>
        <w:t>T</w:t>
      </w:r>
      <w:r w:rsidRPr="0039410E">
        <w:rPr>
          <w:rFonts w:eastAsia="MS Mincho"/>
          <w:i/>
          <w:vertAlign w:val="subscript"/>
          <w:lang w:val="en-US"/>
        </w:rPr>
        <w:t>START</w:t>
      </w:r>
      <w:r>
        <w:rPr>
          <w:rFonts w:eastAsia="MS Mincho"/>
          <w:lang w:val="en-US"/>
        </w:rPr>
        <w:t xml:space="preserve"> from the start of the PUSCH transmission and those that fall within </w:t>
      </w:r>
      <w:r w:rsidRPr="0039410E">
        <w:rPr>
          <w:rFonts w:eastAsia="MS Mincho"/>
          <w:i/>
          <w:lang w:val="en-US"/>
        </w:rPr>
        <w:t>T</w:t>
      </w:r>
      <w:r w:rsidRPr="0039410E">
        <w:rPr>
          <w:rFonts w:eastAsia="MS Mincho"/>
          <w:i/>
          <w:vertAlign w:val="subscript"/>
          <w:lang w:val="en-US"/>
        </w:rPr>
        <w:t>END</w:t>
      </w:r>
      <w:r>
        <w:rPr>
          <w:rFonts w:eastAsia="MS Mincho"/>
          <w:lang w:val="en-US"/>
        </w:rPr>
        <w:t xml:space="preserve"> from the end of the PUSCH transmission, i.e. the candidates between time </w:t>
      </w:r>
      <w:r w:rsidRPr="0039410E">
        <w:rPr>
          <w:rFonts w:eastAsia="MS Mincho"/>
          <w:i/>
          <w:lang w:val="en-US"/>
        </w:rPr>
        <w:t>t</w:t>
      </w:r>
      <w:r w:rsidRPr="0039410E">
        <w:rPr>
          <w:rFonts w:eastAsia="MS Mincho"/>
          <w:vertAlign w:val="subscript"/>
          <w:lang w:val="en-US"/>
        </w:rPr>
        <w:t>4</w:t>
      </w:r>
      <w:r>
        <w:rPr>
          <w:rFonts w:eastAsia="MS Mincho"/>
          <w:lang w:val="en-US"/>
        </w:rPr>
        <w:t xml:space="preserve"> and </w:t>
      </w:r>
      <w:r w:rsidRPr="0039410E">
        <w:rPr>
          <w:rFonts w:eastAsia="MS Mincho"/>
          <w:i/>
          <w:lang w:val="en-US"/>
        </w:rPr>
        <w:t>t</w:t>
      </w:r>
      <w:r w:rsidRPr="0039410E">
        <w:rPr>
          <w:rFonts w:eastAsia="MS Mincho"/>
          <w:vertAlign w:val="subscript"/>
          <w:lang w:val="en-US"/>
        </w:rPr>
        <w:t>7</w:t>
      </w:r>
      <w:r>
        <w:rPr>
          <w:rFonts w:eastAsia="MS Mincho"/>
          <w:lang w:val="en-US"/>
        </w:rPr>
        <w:t xml:space="preserve"> in </w:t>
      </w:r>
      <w:r w:rsidR="008438B0">
        <w:rPr>
          <w:rFonts w:eastAsia="MS Mincho"/>
          <w:lang w:val="en-US"/>
        </w:rPr>
        <w:fldChar w:fldCharType="begin"/>
      </w:r>
      <w:r w:rsidR="008438B0">
        <w:rPr>
          <w:rFonts w:eastAsia="MS Mincho"/>
          <w:lang w:val="en-US"/>
        </w:rPr>
        <w:instrText xml:space="preserve"> REF _Ref513740295 \h </w:instrText>
      </w:r>
      <w:r w:rsidR="008438B0">
        <w:rPr>
          <w:rFonts w:eastAsia="MS Mincho"/>
          <w:lang w:val="en-US"/>
        </w:rPr>
      </w:r>
      <w:r w:rsidR="008438B0">
        <w:rPr>
          <w:rFonts w:eastAsia="MS Mincho"/>
          <w:lang w:val="en-US"/>
        </w:rPr>
        <w:fldChar w:fldCharType="separate"/>
      </w:r>
      <w:r w:rsidR="005A323B">
        <w:t xml:space="preserve">Figure </w:t>
      </w:r>
      <w:r w:rsidR="005A323B">
        <w:rPr>
          <w:noProof/>
        </w:rPr>
        <w:t>2</w:t>
      </w:r>
      <w:r w:rsidR="008438B0">
        <w:rPr>
          <w:rFonts w:eastAsia="MS Mincho"/>
          <w:lang w:val="en-US"/>
        </w:rPr>
        <w:fldChar w:fldCharType="end"/>
      </w:r>
      <w:r>
        <w:rPr>
          <w:rFonts w:eastAsia="MS Mincho"/>
          <w:lang w:val="en-US"/>
        </w:rPr>
        <w:t xml:space="preserve"> are candidates for ERT.  These candidates can form a search space for ERT monitoring.  </w:t>
      </w:r>
    </w:p>
    <w:p w14:paraId="3DF78910" w14:textId="77777777" w:rsidR="00D35037" w:rsidRDefault="00D35037" w:rsidP="00D35037">
      <w:pPr>
        <w:rPr>
          <w:rFonts w:eastAsia="MS Mincho"/>
          <w:lang w:val="en-US"/>
        </w:rPr>
      </w:pPr>
    </w:p>
    <w:p w14:paraId="5C51FD28" w14:textId="77777777" w:rsidR="00D35037" w:rsidRDefault="00D35037" w:rsidP="00D35037">
      <w:pPr>
        <w:jc w:val="center"/>
        <w:rPr>
          <w:rFonts w:eastAsia="MS Mincho"/>
          <w:lang w:val="en-US"/>
        </w:rPr>
      </w:pPr>
      <w:r>
        <w:rPr>
          <w:rFonts w:eastAsia="MS Mincho"/>
          <w:noProof/>
          <w:lang w:eastAsia="en-GB"/>
        </w:rPr>
        <w:drawing>
          <wp:inline distT="0" distB="0" distL="0" distR="0" wp14:anchorId="60DEA973" wp14:editId="59178328">
            <wp:extent cx="5749290" cy="28346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49290" cy="2834640"/>
                    </a:xfrm>
                    <a:prstGeom prst="rect">
                      <a:avLst/>
                    </a:prstGeom>
                    <a:noFill/>
                  </pic:spPr>
                </pic:pic>
              </a:graphicData>
            </a:graphic>
          </wp:inline>
        </w:drawing>
      </w:r>
    </w:p>
    <w:p w14:paraId="5069D946" w14:textId="77777777" w:rsidR="00D35037" w:rsidRDefault="00D35037" w:rsidP="00D35037">
      <w:pPr>
        <w:pStyle w:val="Caption"/>
        <w:jc w:val="center"/>
      </w:pPr>
      <w:bookmarkStart w:id="14" w:name="_Ref513740295"/>
      <w:r>
        <w:t xml:space="preserve">Figure </w:t>
      </w:r>
      <w:r w:rsidR="00090653">
        <w:fldChar w:fldCharType="begin"/>
      </w:r>
      <w:r w:rsidR="00090653">
        <w:instrText xml:space="preserve"> SEQ Figure \* ARABIC </w:instrText>
      </w:r>
      <w:r w:rsidR="00090653">
        <w:fldChar w:fldCharType="separate"/>
      </w:r>
      <w:r>
        <w:rPr>
          <w:noProof/>
        </w:rPr>
        <w:t>2</w:t>
      </w:r>
      <w:r w:rsidR="00090653">
        <w:rPr>
          <w:noProof/>
        </w:rPr>
        <w:fldChar w:fldCharType="end"/>
      </w:r>
      <w:bookmarkEnd w:id="14"/>
      <w:r>
        <w:t>: MPDCCH candidates for transmission of ERT</w:t>
      </w:r>
    </w:p>
    <w:p w14:paraId="07C121EF" w14:textId="77777777" w:rsidR="00D35037" w:rsidRPr="00307345" w:rsidRDefault="00D35037" w:rsidP="00D35037">
      <w:pPr>
        <w:rPr>
          <w:lang w:val="en-US"/>
        </w:rPr>
      </w:pPr>
    </w:p>
    <w:p w14:paraId="173F7697" w14:textId="3C4CD9E0" w:rsidR="00D35037" w:rsidRPr="00307345" w:rsidRDefault="00D35037" w:rsidP="00D35037">
      <w:pPr>
        <w:rPr>
          <w:rFonts w:eastAsia="MS Mincho"/>
          <w:b/>
          <w:lang w:val="en-US"/>
        </w:rPr>
      </w:pPr>
      <w:r w:rsidRPr="00307345">
        <w:rPr>
          <w:rFonts w:eastAsia="MS Mincho"/>
          <w:b/>
          <w:lang w:val="en-US"/>
        </w:rPr>
        <w:t xml:space="preserve">Observation </w:t>
      </w:r>
      <w:r w:rsidR="005F29D7">
        <w:rPr>
          <w:rFonts w:eastAsia="MS Mincho"/>
          <w:b/>
          <w:lang w:val="en-US"/>
        </w:rPr>
        <w:t>3</w:t>
      </w:r>
      <w:r w:rsidRPr="00307345">
        <w:rPr>
          <w:rFonts w:eastAsia="MS Mincho"/>
          <w:b/>
          <w:lang w:val="en-US"/>
        </w:rPr>
        <w:t>: MPDCCH candidates overlapping the PUSCH transmission that are located too early in the transmission or too late in the transmission are not suitable to carry ERT.</w:t>
      </w:r>
    </w:p>
    <w:p w14:paraId="78B52B23" w14:textId="77777777" w:rsidR="00D35037" w:rsidRDefault="00D35037" w:rsidP="00D35037">
      <w:pPr>
        <w:rPr>
          <w:rFonts w:eastAsia="MS Mincho"/>
          <w:b/>
          <w:lang w:val="en-US"/>
        </w:rPr>
      </w:pPr>
      <w:r w:rsidRPr="0039410E">
        <w:rPr>
          <w:rFonts w:eastAsia="MS Mincho"/>
          <w:b/>
          <w:lang w:val="en-US"/>
        </w:rPr>
        <w:t>Proposal 2: The MPDCCH candidates overlapping the PUSCH transmission</w:t>
      </w:r>
      <w:r>
        <w:rPr>
          <w:rFonts w:eastAsia="MS Mincho"/>
          <w:b/>
          <w:lang w:val="en-US"/>
        </w:rPr>
        <w:t>,</w:t>
      </w:r>
      <w:r w:rsidRPr="0039410E">
        <w:rPr>
          <w:rFonts w:eastAsia="MS Mincho"/>
          <w:b/>
          <w:lang w:val="en-US"/>
        </w:rPr>
        <w:t xml:space="preserve"> excluding those within </w:t>
      </w:r>
      <w:r w:rsidRPr="0039410E">
        <w:rPr>
          <w:rFonts w:eastAsia="MS Mincho"/>
          <w:b/>
          <w:i/>
          <w:lang w:val="en-US"/>
        </w:rPr>
        <w:t>T</w:t>
      </w:r>
      <w:r w:rsidRPr="0039410E">
        <w:rPr>
          <w:rFonts w:eastAsia="MS Mincho"/>
          <w:b/>
          <w:i/>
          <w:vertAlign w:val="subscript"/>
          <w:lang w:val="en-US"/>
        </w:rPr>
        <w:t>START</w:t>
      </w:r>
      <w:r w:rsidRPr="0039410E">
        <w:rPr>
          <w:rFonts w:eastAsia="MS Mincho"/>
          <w:b/>
          <w:lang w:val="en-US"/>
        </w:rPr>
        <w:t xml:space="preserve"> from the beginning of the PUSCH transmission and </w:t>
      </w:r>
      <w:r w:rsidRPr="0039410E">
        <w:rPr>
          <w:rFonts w:eastAsia="MS Mincho"/>
          <w:b/>
          <w:i/>
          <w:lang w:val="en-US"/>
        </w:rPr>
        <w:t>T</w:t>
      </w:r>
      <w:r w:rsidRPr="0039410E">
        <w:rPr>
          <w:rFonts w:eastAsia="MS Mincho"/>
          <w:b/>
          <w:i/>
          <w:vertAlign w:val="subscript"/>
          <w:lang w:val="en-US"/>
        </w:rPr>
        <w:t>END</w:t>
      </w:r>
      <w:r w:rsidRPr="0039410E">
        <w:rPr>
          <w:rFonts w:eastAsia="MS Mincho"/>
          <w:b/>
          <w:lang w:val="en-US"/>
        </w:rPr>
        <w:t xml:space="preserve"> from the end of the PUSCH transmission</w:t>
      </w:r>
      <w:r>
        <w:rPr>
          <w:rFonts w:eastAsia="MS Mincho"/>
          <w:b/>
          <w:lang w:val="en-US"/>
        </w:rPr>
        <w:t>,</w:t>
      </w:r>
      <w:r w:rsidRPr="0039410E">
        <w:rPr>
          <w:rFonts w:eastAsia="MS Mincho"/>
          <w:b/>
          <w:lang w:val="en-US"/>
        </w:rPr>
        <w:t xml:space="preserve"> are used for monitoring of an ERT indicator.</w:t>
      </w:r>
    </w:p>
    <w:p w14:paraId="78AA2CC7" w14:textId="71078076" w:rsidR="00D35037" w:rsidRDefault="00D35037" w:rsidP="00C04F41">
      <w:pPr>
        <w:rPr>
          <w:rFonts w:eastAsia="MS Mincho"/>
          <w:lang w:val="en-US"/>
        </w:rPr>
      </w:pPr>
    </w:p>
    <w:p w14:paraId="57F82034" w14:textId="412045C9" w:rsidR="00C04F41" w:rsidRDefault="00C04F41" w:rsidP="00C04F41">
      <w:pPr>
        <w:rPr>
          <w:rFonts w:eastAsia="MS Mincho"/>
          <w:lang w:val="en-US"/>
        </w:rPr>
      </w:pPr>
      <w:r>
        <w:rPr>
          <w:rFonts w:eastAsia="MS Mincho"/>
          <w:lang w:val="en-US"/>
        </w:rPr>
        <w:t>In [</w:t>
      </w:r>
      <w:r w:rsidR="008438B0">
        <w:rPr>
          <w:rFonts w:eastAsia="MS Mincho"/>
          <w:lang w:val="en-US"/>
        </w:rPr>
        <w:t>3</w:t>
      </w:r>
      <w:r>
        <w:rPr>
          <w:rFonts w:eastAsia="MS Mincho"/>
          <w:lang w:val="en-US"/>
        </w:rPr>
        <w:t xml:space="preserve">], it is noted that the periodicity of the MPDCCH UE Specific Search Space (USS) may not provide opportunities to signal an early PUSCH repetition termination (ERT).  An example is shown in </w:t>
      </w:r>
      <w:r>
        <w:rPr>
          <w:rFonts w:eastAsia="MS Mincho"/>
          <w:lang w:val="en-US"/>
        </w:rPr>
        <w:fldChar w:fldCharType="begin"/>
      </w:r>
      <w:r>
        <w:rPr>
          <w:rFonts w:eastAsia="MS Mincho"/>
          <w:lang w:val="en-US"/>
        </w:rPr>
        <w:instrText xml:space="preserve"> REF _Ref506480844 \h </w:instrText>
      </w:r>
      <w:r>
        <w:rPr>
          <w:rFonts w:eastAsia="MS Mincho"/>
          <w:lang w:val="en-US"/>
        </w:rPr>
      </w:r>
      <w:r>
        <w:rPr>
          <w:rFonts w:eastAsia="MS Mincho"/>
          <w:lang w:val="en-US"/>
        </w:rPr>
        <w:fldChar w:fldCharType="separate"/>
      </w:r>
      <w:r w:rsidR="00D35037">
        <w:t xml:space="preserve">Figure </w:t>
      </w:r>
      <w:r w:rsidR="00D35037">
        <w:rPr>
          <w:noProof/>
        </w:rPr>
        <w:t>3</w:t>
      </w:r>
      <w:r>
        <w:rPr>
          <w:rFonts w:eastAsia="MS Mincho"/>
          <w:lang w:val="en-US"/>
        </w:rPr>
        <w:fldChar w:fldCharType="end"/>
      </w:r>
      <w:r>
        <w:rPr>
          <w:rFonts w:eastAsia="MS Mincho"/>
          <w:lang w:val="en-US"/>
        </w:rPr>
        <w:t xml:space="preserve"> where the periodicity of the MPDCCH USS is </w:t>
      </w:r>
      <w:r w:rsidRPr="00956E93">
        <w:rPr>
          <w:rFonts w:eastAsia="MS Mincho"/>
          <w:i/>
          <w:lang w:val="en-US"/>
        </w:rPr>
        <w:t>P</w:t>
      </w:r>
      <w:r w:rsidRPr="00956E93">
        <w:rPr>
          <w:rFonts w:eastAsia="MS Mincho"/>
          <w:i/>
          <w:vertAlign w:val="subscript"/>
          <w:lang w:val="en-US"/>
        </w:rPr>
        <w:t>MPDCCH</w:t>
      </w:r>
      <w:r>
        <w:rPr>
          <w:rFonts w:eastAsia="MS Mincho"/>
          <w:lang w:val="en-US"/>
        </w:rPr>
        <w:t xml:space="preserve">.  Here the scheduled PUSCH transmission between </w:t>
      </w:r>
      <w:r w:rsidRPr="000E0154">
        <w:rPr>
          <w:rFonts w:eastAsia="MS Mincho"/>
          <w:i/>
          <w:lang w:val="en-US"/>
        </w:rPr>
        <w:t>t</w:t>
      </w:r>
      <w:r w:rsidRPr="000E0154">
        <w:rPr>
          <w:rFonts w:eastAsia="MS Mincho"/>
          <w:vertAlign w:val="subscript"/>
          <w:lang w:val="en-US"/>
        </w:rPr>
        <w:t>1</w:t>
      </w:r>
      <w:r>
        <w:rPr>
          <w:rFonts w:eastAsia="MS Mincho"/>
          <w:lang w:val="en-US"/>
        </w:rPr>
        <w:t xml:space="preserve"> and </w:t>
      </w:r>
      <w:r w:rsidRPr="000E0154">
        <w:rPr>
          <w:rFonts w:eastAsia="MS Mincho"/>
          <w:i/>
          <w:lang w:val="en-US"/>
        </w:rPr>
        <w:t>t</w:t>
      </w:r>
      <w:r w:rsidRPr="000E0154">
        <w:rPr>
          <w:rFonts w:eastAsia="MS Mincho"/>
          <w:vertAlign w:val="subscript"/>
          <w:lang w:val="en-US"/>
        </w:rPr>
        <w:t>2</w:t>
      </w:r>
      <w:r>
        <w:rPr>
          <w:rFonts w:eastAsia="MS Mincho"/>
          <w:lang w:val="en-US"/>
        </w:rPr>
        <w:t xml:space="preserve"> does not overlap any MPDCCH USS and since the ERT indicator is carried by MPDCCH, there is no opportunity for the eNB to transmit an ERT indicator for this PUSCH transmission.</w:t>
      </w:r>
      <w:r w:rsidR="008438B0">
        <w:rPr>
          <w:rFonts w:eastAsia="MS Mincho"/>
          <w:lang w:val="en-US"/>
        </w:rPr>
        <w:t xml:space="preserve">  </w:t>
      </w:r>
    </w:p>
    <w:p w14:paraId="64F849BF" w14:textId="77777777" w:rsidR="00C04F41" w:rsidRDefault="00C04F41" w:rsidP="00C04F41">
      <w:pPr>
        <w:jc w:val="center"/>
        <w:rPr>
          <w:rFonts w:eastAsia="MS Mincho"/>
          <w:lang w:val="en-US"/>
        </w:rPr>
      </w:pPr>
      <w:r>
        <w:rPr>
          <w:rFonts w:eastAsia="MS Mincho"/>
          <w:noProof/>
          <w:lang w:eastAsia="en-GB"/>
        </w:rPr>
        <w:lastRenderedPageBreak/>
        <w:drawing>
          <wp:inline distT="0" distB="0" distL="0" distR="0" wp14:anchorId="1D66E816" wp14:editId="0FE24C44">
            <wp:extent cx="2548255" cy="1999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8255" cy="1999615"/>
                    </a:xfrm>
                    <a:prstGeom prst="rect">
                      <a:avLst/>
                    </a:prstGeom>
                    <a:noFill/>
                  </pic:spPr>
                </pic:pic>
              </a:graphicData>
            </a:graphic>
          </wp:inline>
        </w:drawing>
      </w:r>
    </w:p>
    <w:p w14:paraId="243222F1" w14:textId="77777777" w:rsidR="00C04F41" w:rsidRDefault="00C04F41" w:rsidP="00C04F41">
      <w:pPr>
        <w:pStyle w:val="Caption"/>
        <w:jc w:val="center"/>
        <w:rPr>
          <w:rFonts w:eastAsia="MS Mincho"/>
          <w:lang w:val="en-US"/>
        </w:rPr>
      </w:pPr>
      <w:bookmarkStart w:id="15" w:name="_Ref506480844"/>
      <w:r>
        <w:t xml:space="preserve">Figure </w:t>
      </w:r>
      <w:r w:rsidR="00090653">
        <w:fldChar w:fldCharType="begin"/>
      </w:r>
      <w:r w:rsidR="00090653">
        <w:instrText xml:space="preserve"> SEQ Figure \* ARABIC </w:instrText>
      </w:r>
      <w:r w:rsidR="00090653">
        <w:fldChar w:fldCharType="separate"/>
      </w:r>
      <w:r w:rsidR="00D35037">
        <w:rPr>
          <w:noProof/>
        </w:rPr>
        <w:t>3</w:t>
      </w:r>
      <w:r w:rsidR="00090653">
        <w:rPr>
          <w:noProof/>
        </w:rPr>
        <w:fldChar w:fldCharType="end"/>
      </w:r>
      <w:bookmarkEnd w:id="15"/>
      <w:r>
        <w:t>: MPDCCH periodicity prevents ERT indicator transmission</w:t>
      </w:r>
    </w:p>
    <w:p w14:paraId="32734960" w14:textId="30CF6173" w:rsidR="00C04F41" w:rsidRDefault="008438B0" w:rsidP="00C04F41">
      <w:pPr>
        <w:rPr>
          <w:rFonts w:eastAsia="MS Mincho"/>
          <w:lang w:val="en-US"/>
        </w:rPr>
      </w:pPr>
      <w:r>
        <w:rPr>
          <w:rFonts w:eastAsia="MS Mincho"/>
          <w:lang w:val="en-US"/>
        </w:rPr>
        <w:t xml:space="preserve">If there is no MPDCCH candidates that overlaps with the scheduled PUSCH transmission, then it can be deemed that the eNB does not require the UE to monitor for ERT.  Specifically, if there is no MPDCCH candidates overlapping the time window between </w:t>
      </w:r>
      <w:r w:rsidRPr="008438B0">
        <w:rPr>
          <w:rFonts w:eastAsia="MS Mincho"/>
          <w:i/>
          <w:lang w:val="en-US"/>
        </w:rPr>
        <w:t>T</w:t>
      </w:r>
      <w:r w:rsidRPr="008438B0">
        <w:rPr>
          <w:rFonts w:eastAsia="MS Mincho"/>
          <w:i/>
          <w:vertAlign w:val="subscript"/>
          <w:lang w:val="en-US"/>
        </w:rPr>
        <w:t>START</w:t>
      </w:r>
      <w:r w:rsidRPr="008438B0">
        <w:rPr>
          <w:rFonts w:eastAsia="MS Mincho"/>
          <w:lang w:val="en-US"/>
        </w:rPr>
        <w:t xml:space="preserve"> from beginning of PUSCH transmission and </w:t>
      </w:r>
      <w:r w:rsidRPr="008438B0">
        <w:rPr>
          <w:rFonts w:eastAsia="MS Mincho"/>
          <w:i/>
          <w:lang w:val="en-US"/>
        </w:rPr>
        <w:t>T</w:t>
      </w:r>
      <w:r w:rsidRPr="008438B0">
        <w:rPr>
          <w:rFonts w:eastAsia="MS Mincho"/>
          <w:i/>
          <w:vertAlign w:val="subscript"/>
          <w:lang w:val="en-US"/>
        </w:rPr>
        <w:t>END</w:t>
      </w:r>
      <w:r w:rsidRPr="008438B0">
        <w:rPr>
          <w:rFonts w:eastAsia="MS Mincho"/>
          <w:lang w:val="en-US"/>
        </w:rPr>
        <w:t xml:space="preserve"> from end of the PUSCH transmission, then the UE does not need to monitor for ERT during this PUSCH transmission.</w:t>
      </w:r>
    </w:p>
    <w:p w14:paraId="523E7521" w14:textId="77777777" w:rsidR="008438B0" w:rsidRPr="0039410E" w:rsidRDefault="008438B0" w:rsidP="008438B0">
      <w:pPr>
        <w:rPr>
          <w:rFonts w:eastAsia="MS Mincho"/>
          <w:b/>
          <w:lang w:val="en-US"/>
        </w:rPr>
      </w:pPr>
      <w:bookmarkStart w:id="16" w:name="_GoBack"/>
      <w:r>
        <w:rPr>
          <w:rFonts w:eastAsia="MS Mincho"/>
          <w:b/>
          <w:lang w:val="en-US"/>
        </w:rPr>
        <w:t xml:space="preserve">Proposal 3: If there is no MPDCCH candidate overlapping the time window between </w:t>
      </w:r>
      <w:r w:rsidRPr="00956E93">
        <w:rPr>
          <w:rFonts w:eastAsia="MS Mincho"/>
          <w:b/>
          <w:i/>
          <w:lang w:val="en-US"/>
        </w:rPr>
        <w:t>T</w:t>
      </w:r>
      <w:r w:rsidRPr="00956E93">
        <w:rPr>
          <w:rFonts w:eastAsia="MS Mincho"/>
          <w:b/>
          <w:i/>
          <w:vertAlign w:val="subscript"/>
          <w:lang w:val="en-US"/>
        </w:rPr>
        <w:t>START</w:t>
      </w:r>
      <w:r>
        <w:rPr>
          <w:rFonts w:eastAsia="MS Mincho"/>
          <w:b/>
          <w:lang w:val="en-US"/>
        </w:rPr>
        <w:t xml:space="preserve"> from beginning of PUSCH transmission and </w:t>
      </w:r>
      <w:r w:rsidRPr="00956E93">
        <w:rPr>
          <w:rFonts w:eastAsia="MS Mincho"/>
          <w:b/>
          <w:i/>
          <w:lang w:val="en-US"/>
        </w:rPr>
        <w:t>T</w:t>
      </w:r>
      <w:r w:rsidRPr="00956E93">
        <w:rPr>
          <w:rFonts w:eastAsia="MS Mincho"/>
          <w:b/>
          <w:i/>
          <w:vertAlign w:val="subscript"/>
          <w:lang w:val="en-US"/>
        </w:rPr>
        <w:t>END</w:t>
      </w:r>
      <w:r>
        <w:rPr>
          <w:rFonts w:eastAsia="MS Mincho"/>
          <w:b/>
          <w:lang w:val="en-US"/>
        </w:rPr>
        <w:t xml:space="preserve"> from end of the PUSCH transmission, then the UE does not need to monitor for ERT during this PUSCH transmission.</w:t>
      </w:r>
    </w:p>
    <w:bookmarkEnd w:id="16"/>
    <w:p w14:paraId="64D3A8A4" w14:textId="36F8207F" w:rsidR="00AF5CEF" w:rsidRDefault="00AF5CEF" w:rsidP="0089176E">
      <w:pPr>
        <w:rPr>
          <w:noProof/>
        </w:rPr>
      </w:pPr>
    </w:p>
    <w:p w14:paraId="7659EBED" w14:textId="77777777" w:rsidR="00226014" w:rsidRDefault="00226014" w:rsidP="00226014">
      <w:pPr>
        <w:pStyle w:val="Heading1"/>
        <w:numPr>
          <w:ilvl w:val="0"/>
          <w:numId w:val="9"/>
        </w:numPr>
      </w:pPr>
      <w:r>
        <w:t xml:space="preserve">  Conclusion</w:t>
      </w:r>
    </w:p>
    <w:p w14:paraId="72BCCA45" w14:textId="671855D0" w:rsidR="00226014" w:rsidRDefault="00226014" w:rsidP="00372E07">
      <w:pPr>
        <w:jc w:val="both"/>
        <w:rPr>
          <w:lang w:val="en-US"/>
        </w:rPr>
      </w:pPr>
      <w:r w:rsidRPr="004E6386">
        <w:rPr>
          <w:lang w:val="en-US"/>
        </w:rPr>
        <w:t xml:space="preserve">In this contribution we </w:t>
      </w:r>
      <w:r w:rsidR="00C81CD4">
        <w:rPr>
          <w:lang w:val="en-US"/>
        </w:rPr>
        <w:t xml:space="preserve">discuss </w:t>
      </w:r>
      <w:r w:rsidR="004533A9">
        <w:rPr>
          <w:lang w:val="en-US"/>
        </w:rPr>
        <w:t xml:space="preserve">the remaining aspects in introducing </w:t>
      </w:r>
      <w:r w:rsidR="0089176E">
        <w:rPr>
          <w:lang w:val="en-US"/>
        </w:rPr>
        <w:t>explicit HARQ_ACK</w:t>
      </w:r>
      <w:r w:rsidR="001A2C65">
        <w:rPr>
          <w:lang w:val="en-US"/>
        </w:rPr>
        <w:t xml:space="preserve">.  We </w:t>
      </w:r>
      <w:r w:rsidR="004533A9">
        <w:rPr>
          <w:lang w:val="en-US"/>
        </w:rPr>
        <w:t>observed the following</w:t>
      </w:r>
      <w:r w:rsidR="00775C57">
        <w:rPr>
          <w:lang w:val="en-US"/>
        </w:rPr>
        <w:t>:</w:t>
      </w:r>
    </w:p>
    <w:p w14:paraId="51A28D52" w14:textId="77777777" w:rsidR="0010488B" w:rsidRPr="004E6386" w:rsidRDefault="0010488B" w:rsidP="0010488B">
      <w:pPr>
        <w:rPr>
          <w:rFonts w:eastAsia="MS Mincho"/>
          <w:b/>
          <w:lang w:val="en-US"/>
        </w:rPr>
      </w:pPr>
      <w:r w:rsidRPr="004E6386">
        <w:rPr>
          <w:rFonts w:eastAsia="MS Mincho"/>
          <w:b/>
          <w:lang w:val="en-US"/>
        </w:rPr>
        <w:t>Observation 1: Multiplexing UL HARQ-ACK feedbacks for multiple UEs in a single common DCI is not efficient and may increase scheduler complexity.</w:t>
      </w:r>
    </w:p>
    <w:p w14:paraId="7E0CA8D1" w14:textId="77777777" w:rsidR="0010488B" w:rsidRDefault="0010488B" w:rsidP="0010488B">
      <w:pPr>
        <w:rPr>
          <w:rFonts w:eastAsia="MS Mincho"/>
          <w:b/>
          <w:lang w:val="en-US"/>
        </w:rPr>
      </w:pPr>
      <w:r>
        <w:rPr>
          <w:rFonts w:eastAsia="MS Mincho"/>
          <w:b/>
          <w:lang w:val="en-US"/>
        </w:rPr>
        <w:t>Observation 2: The MDPDCCH candidates that overlap the PUSCH transmission can be monitored for Early PUSCH Repetition Termination indicator.</w:t>
      </w:r>
    </w:p>
    <w:p w14:paraId="37D3845A" w14:textId="77777777" w:rsidR="0010488B" w:rsidRPr="00307345" w:rsidRDefault="0010488B" w:rsidP="0010488B">
      <w:pPr>
        <w:rPr>
          <w:rFonts w:eastAsia="MS Mincho"/>
          <w:b/>
          <w:lang w:val="en-US"/>
        </w:rPr>
      </w:pPr>
      <w:r w:rsidRPr="00307345">
        <w:rPr>
          <w:rFonts w:eastAsia="MS Mincho"/>
          <w:b/>
          <w:lang w:val="en-US"/>
        </w:rPr>
        <w:t xml:space="preserve">Observation </w:t>
      </w:r>
      <w:r>
        <w:rPr>
          <w:rFonts w:eastAsia="MS Mincho"/>
          <w:b/>
          <w:lang w:val="en-US"/>
        </w:rPr>
        <w:t>3</w:t>
      </w:r>
      <w:r w:rsidRPr="00307345">
        <w:rPr>
          <w:rFonts w:eastAsia="MS Mincho"/>
          <w:b/>
          <w:lang w:val="en-US"/>
        </w:rPr>
        <w:t>: MPDCCH candidates overlapping the PUSCH transmission that are located too early in the transmission or too late in the transmission are not suitable to carry ERT.</w:t>
      </w:r>
    </w:p>
    <w:p w14:paraId="124F27CE" w14:textId="77777777" w:rsidR="004533A9" w:rsidRDefault="004533A9" w:rsidP="001A2C65">
      <w:pPr>
        <w:rPr>
          <w:b/>
          <w:lang w:val="en-US"/>
        </w:rPr>
      </w:pPr>
    </w:p>
    <w:p w14:paraId="01B6B992" w14:textId="59F9BE33" w:rsidR="004533A9" w:rsidRPr="004533A9" w:rsidRDefault="004533A9" w:rsidP="001A2C65">
      <w:pPr>
        <w:rPr>
          <w:lang w:val="en-US"/>
        </w:rPr>
      </w:pPr>
      <w:r>
        <w:rPr>
          <w:lang w:val="en-US"/>
        </w:rPr>
        <w:t>We therefore propose the following:</w:t>
      </w:r>
    </w:p>
    <w:p w14:paraId="551FE566" w14:textId="77777777" w:rsidR="0010488B" w:rsidRDefault="0010488B" w:rsidP="0010488B">
      <w:pPr>
        <w:rPr>
          <w:rFonts w:eastAsia="MS Mincho"/>
          <w:b/>
          <w:lang w:val="en-US"/>
        </w:rPr>
      </w:pPr>
      <w:r w:rsidRPr="004E6386">
        <w:rPr>
          <w:rFonts w:eastAsia="MS Mincho"/>
          <w:b/>
          <w:lang w:val="en-US"/>
        </w:rPr>
        <w:t xml:space="preserve">Proposal </w:t>
      </w:r>
      <w:r>
        <w:rPr>
          <w:rFonts w:eastAsia="MS Mincho"/>
          <w:b/>
          <w:lang w:val="en-US"/>
        </w:rPr>
        <w:t>1</w:t>
      </w:r>
      <w:r w:rsidRPr="004E6386">
        <w:rPr>
          <w:rFonts w:eastAsia="MS Mincho"/>
          <w:b/>
          <w:lang w:val="en-US"/>
        </w:rPr>
        <w:t xml:space="preserve">: The explicit UL HARQ-ACK feedback is carried </w:t>
      </w:r>
      <w:r>
        <w:rPr>
          <w:rFonts w:eastAsia="MS Mincho"/>
          <w:b/>
          <w:lang w:val="en-US"/>
        </w:rPr>
        <w:t xml:space="preserve">only </w:t>
      </w:r>
      <w:r w:rsidRPr="004E6386">
        <w:rPr>
          <w:rFonts w:eastAsia="MS Mincho"/>
          <w:b/>
          <w:lang w:val="en-US"/>
        </w:rPr>
        <w:t>by a UE specific DCI.</w:t>
      </w:r>
    </w:p>
    <w:p w14:paraId="600D98A9" w14:textId="77777777" w:rsidR="0010488B" w:rsidRDefault="0010488B" w:rsidP="0010488B">
      <w:pPr>
        <w:rPr>
          <w:rFonts w:eastAsia="MS Mincho"/>
          <w:b/>
          <w:lang w:val="en-US"/>
        </w:rPr>
      </w:pPr>
      <w:r w:rsidRPr="0039410E">
        <w:rPr>
          <w:rFonts w:eastAsia="MS Mincho"/>
          <w:b/>
          <w:lang w:val="en-US"/>
        </w:rPr>
        <w:t>Proposal 2: The MPDCCH candidates overlapping the PUSCH transmission</w:t>
      </w:r>
      <w:r>
        <w:rPr>
          <w:rFonts w:eastAsia="MS Mincho"/>
          <w:b/>
          <w:lang w:val="en-US"/>
        </w:rPr>
        <w:t>,</w:t>
      </w:r>
      <w:r w:rsidRPr="0039410E">
        <w:rPr>
          <w:rFonts w:eastAsia="MS Mincho"/>
          <w:b/>
          <w:lang w:val="en-US"/>
        </w:rPr>
        <w:t xml:space="preserve"> excluding those within </w:t>
      </w:r>
      <w:r w:rsidRPr="0039410E">
        <w:rPr>
          <w:rFonts w:eastAsia="MS Mincho"/>
          <w:b/>
          <w:i/>
          <w:lang w:val="en-US"/>
        </w:rPr>
        <w:t>T</w:t>
      </w:r>
      <w:r w:rsidRPr="0039410E">
        <w:rPr>
          <w:rFonts w:eastAsia="MS Mincho"/>
          <w:b/>
          <w:i/>
          <w:vertAlign w:val="subscript"/>
          <w:lang w:val="en-US"/>
        </w:rPr>
        <w:t>START</w:t>
      </w:r>
      <w:r w:rsidRPr="0039410E">
        <w:rPr>
          <w:rFonts w:eastAsia="MS Mincho"/>
          <w:b/>
          <w:lang w:val="en-US"/>
        </w:rPr>
        <w:t xml:space="preserve"> from the beginning of the PUSCH transmission and </w:t>
      </w:r>
      <w:r w:rsidRPr="0039410E">
        <w:rPr>
          <w:rFonts w:eastAsia="MS Mincho"/>
          <w:b/>
          <w:i/>
          <w:lang w:val="en-US"/>
        </w:rPr>
        <w:t>T</w:t>
      </w:r>
      <w:r w:rsidRPr="0039410E">
        <w:rPr>
          <w:rFonts w:eastAsia="MS Mincho"/>
          <w:b/>
          <w:i/>
          <w:vertAlign w:val="subscript"/>
          <w:lang w:val="en-US"/>
        </w:rPr>
        <w:t>END</w:t>
      </w:r>
      <w:r w:rsidRPr="0039410E">
        <w:rPr>
          <w:rFonts w:eastAsia="MS Mincho"/>
          <w:b/>
          <w:lang w:val="en-US"/>
        </w:rPr>
        <w:t xml:space="preserve"> from the end of the PUSCH transmission</w:t>
      </w:r>
      <w:r>
        <w:rPr>
          <w:rFonts w:eastAsia="MS Mincho"/>
          <w:b/>
          <w:lang w:val="en-US"/>
        </w:rPr>
        <w:t>,</w:t>
      </w:r>
      <w:r w:rsidRPr="0039410E">
        <w:rPr>
          <w:rFonts w:eastAsia="MS Mincho"/>
          <w:b/>
          <w:lang w:val="en-US"/>
        </w:rPr>
        <w:t xml:space="preserve"> are used for monitoring of an ERT indicator.</w:t>
      </w:r>
    </w:p>
    <w:p w14:paraId="028E720B" w14:textId="77777777" w:rsidR="0010488B" w:rsidRPr="0039410E" w:rsidRDefault="0010488B" w:rsidP="0010488B">
      <w:pPr>
        <w:rPr>
          <w:rFonts w:eastAsia="MS Mincho"/>
          <w:b/>
          <w:lang w:val="en-US"/>
        </w:rPr>
      </w:pPr>
      <w:r>
        <w:rPr>
          <w:rFonts w:eastAsia="MS Mincho"/>
          <w:b/>
          <w:lang w:val="en-US"/>
        </w:rPr>
        <w:t xml:space="preserve">Proposal 3: If there is no MPDCCH candidate overlapping the time window between </w:t>
      </w:r>
      <w:r w:rsidRPr="00956E93">
        <w:rPr>
          <w:rFonts w:eastAsia="MS Mincho"/>
          <w:b/>
          <w:i/>
          <w:lang w:val="en-US"/>
        </w:rPr>
        <w:t>T</w:t>
      </w:r>
      <w:r w:rsidRPr="00956E93">
        <w:rPr>
          <w:rFonts w:eastAsia="MS Mincho"/>
          <w:b/>
          <w:i/>
          <w:vertAlign w:val="subscript"/>
          <w:lang w:val="en-US"/>
        </w:rPr>
        <w:t>START</w:t>
      </w:r>
      <w:r>
        <w:rPr>
          <w:rFonts w:eastAsia="MS Mincho"/>
          <w:b/>
          <w:lang w:val="en-US"/>
        </w:rPr>
        <w:t xml:space="preserve"> from beginning of PUSCH transmission and </w:t>
      </w:r>
      <w:r w:rsidRPr="00956E93">
        <w:rPr>
          <w:rFonts w:eastAsia="MS Mincho"/>
          <w:b/>
          <w:i/>
          <w:lang w:val="en-US"/>
        </w:rPr>
        <w:t>T</w:t>
      </w:r>
      <w:r w:rsidRPr="00956E93">
        <w:rPr>
          <w:rFonts w:eastAsia="MS Mincho"/>
          <w:b/>
          <w:i/>
          <w:vertAlign w:val="subscript"/>
          <w:lang w:val="en-US"/>
        </w:rPr>
        <w:t>END</w:t>
      </w:r>
      <w:r>
        <w:rPr>
          <w:rFonts w:eastAsia="MS Mincho"/>
          <w:b/>
          <w:lang w:val="en-US"/>
        </w:rPr>
        <w:t xml:space="preserve"> from end of the PUSCH transmission, then the UE does not need to monitor for ERT during this PUSCH transmission.</w:t>
      </w:r>
    </w:p>
    <w:p w14:paraId="1FE9F97E" w14:textId="6E15176F" w:rsidR="00A7505A" w:rsidRDefault="00A7505A" w:rsidP="00A7505A">
      <w:pPr>
        <w:rPr>
          <w:noProof/>
        </w:rPr>
      </w:pPr>
    </w:p>
    <w:p w14:paraId="531D7ED8" w14:textId="77777777" w:rsidR="00226014" w:rsidRDefault="00226014" w:rsidP="00226014">
      <w:pPr>
        <w:pStyle w:val="Heading1"/>
        <w:numPr>
          <w:ilvl w:val="0"/>
          <w:numId w:val="9"/>
        </w:numPr>
      </w:pPr>
      <w:r>
        <w:t>References</w:t>
      </w:r>
    </w:p>
    <w:p w14:paraId="4B6F8D36" w14:textId="41D7050A" w:rsidR="00DF4C6C" w:rsidRDefault="008A33AF" w:rsidP="00D35037">
      <w:pPr>
        <w:rPr>
          <w:lang w:val="en-US"/>
        </w:rPr>
      </w:pPr>
      <w:r w:rsidRPr="00616BF8">
        <w:rPr>
          <w:lang w:val="en-US"/>
        </w:rPr>
        <w:t xml:space="preserve">[1] </w:t>
      </w:r>
      <w:r w:rsidR="00D35037">
        <w:rPr>
          <w:lang w:val="en-US"/>
        </w:rPr>
        <w:t>R1-1803886, “</w:t>
      </w:r>
      <w:r w:rsidR="00D35037" w:rsidRPr="00D35037">
        <w:rPr>
          <w:lang w:val="en-US"/>
        </w:rPr>
        <w:t>Further considerations on HARQ-A</w:t>
      </w:r>
      <w:r w:rsidR="00D35037">
        <w:rPr>
          <w:lang w:val="en-US"/>
        </w:rPr>
        <w:t xml:space="preserve">CK feedback for PUSCH in eFeMTC,” </w:t>
      </w:r>
      <w:r w:rsidR="00D35037" w:rsidRPr="00D35037">
        <w:rPr>
          <w:lang w:val="en-US"/>
        </w:rPr>
        <w:t>Huawei, HiSilicon</w:t>
      </w:r>
      <w:r w:rsidR="00D35037">
        <w:rPr>
          <w:lang w:val="en-US"/>
        </w:rPr>
        <w:t>, RAN1#92bis</w:t>
      </w:r>
    </w:p>
    <w:p w14:paraId="74B4F563" w14:textId="24DB4E20" w:rsidR="008438B0" w:rsidRDefault="008438B0" w:rsidP="00D35037">
      <w:pPr>
        <w:rPr>
          <w:lang w:val="en-US"/>
        </w:rPr>
      </w:pPr>
      <w:r>
        <w:rPr>
          <w:lang w:val="en-US"/>
        </w:rPr>
        <w:t>[2] R1-1804605, “</w:t>
      </w:r>
      <w:r w:rsidRPr="008438B0">
        <w:rPr>
          <w:lang w:val="en-US"/>
        </w:rPr>
        <w:t>Remaining issues in explicit uplink HARQ-ACK feedback for efeMTC</w:t>
      </w:r>
      <w:r w:rsidRPr="008438B0">
        <w:rPr>
          <w:lang w:val="en-US"/>
        </w:rPr>
        <w:tab/>
      </w:r>
      <w:r>
        <w:rPr>
          <w:lang w:val="en-US"/>
        </w:rPr>
        <w:t xml:space="preserve">,” </w:t>
      </w:r>
      <w:r w:rsidRPr="008438B0">
        <w:rPr>
          <w:lang w:val="en-US"/>
        </w:rPr>
        <w:t>Sony</w:t>
      </w:r>
      <w:r>
        <w:rPr>
          <w:lang w:val="en-US"/>
        </w:rPr>
        <w:t>, RAN1#92bis</w:t>
      </w:r>
    </w:p>
    <w:p w14:paraId="54D6B1AB" w14:textId="3B07611E" w:rsidR="00D35037" w:rsidRDefault="008438B0" w:rsidP="00D35037">
      <w:pPr>
        <w:rPr>
          <w:lang w:val="en-US"/>
        </w:rPr>
      </w:pPr>
      <w:r>
        <w:rPr>
          <w:lang w:val="en-US"/>
        </w:rPr>
        <w:t>[3</w:t>
      </w:r>
      <w:r w:rsidR="00D35037">
        <w:rPr>
          <w:lang w:val="en-US"/>
        </w:rPr>
        <w:t xml:space="preserve">] </w:t>
      </w:r>
      <w:r>
        <w:rPr>
          <w:lang w:val="en-US"/>
        </w:rPr>
        <w:t>R1-1804175, “</w:t>
      </w:r>
      <w:r w:rsidR="00D35037" w:rsidRPr="00D35037">
        <w:rPr>
          <w:lang w:val="en-US"/>
        </w:rPr>
        <w:t xml:space="preserve">Remaining issues </w:t>
      </w:r>
      <w:r>
        <w:rPr>
          <w:lang w:val="en-US"/>
        </w:rPr>
        <w:t xml:space="preserve">on UL HARQ-ACK feedback for MTC,” </w:t>
      </w:r>
      <w:r w:rsidR="00D35037" w:rsidRPr="00D35037">
        <w:rPr>
          <w:lang w:val="en-US"/>
        </w:rPr>
        <w:t>ZTE, SaneChips</w:t>
      </w:r>
      <w:r>
        <w:rPr>
          <w:lang w:val="en-US"/>
        </w:rPr>
        <w:t>, RAN1#92bis</w:t>
      </w:r>
    </w:p>
    <w:p w14:paraId="0EDFAD82" w14:textId="004BBD97" w:rsidR="00D35037" w:rsidRPr="00616BF8" w:rsidRDefault="00D35037" w:rsidP="00D35037">
      <w:pPr>
        <w:rPr>
          <w:lang w:val="en-US"/>
        </w:rPr>
      </w:pPr>
      <w:r>
        <w:rPr>
          <w:lang w:val="en-US"/>
        </w:rPr>
        <w:t xml:space="preserve"> </w:t>
      </w:r>
    </w:p>
    <w:sectPr w:rsidR="00D35037" w:rsidRPr="00616BF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5554D3" w16cid:durableId="1E707313"/>
  <w16cid:commentId w16cid:paraId="539B6B7B" w16cid:durableId="1E7078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8C9BA3" w14:textId="77777777" w:rsidR="00090653" w:rsidRDefault="00090653">
      <w:r>
        <w:separator/>
      </w:r>
    </w:p>
  </w:endnote>
  <w:endnote w:type="continuationSeparator" w:id="0">
    <w:p w14:paraId="36E112C6" w14:textId="77777777" w:rsidR="00090653" w:rsidRDefault="00090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276BB" w14:textId="77777777" w:rsidR="00090653" w:rsidRDefault="00090653">
      <w:r>
        <w:separator/>
      </w:r>
    </w:p>
  </w:footnote>
  <w:footnote w:type="continuationSeparator" w:id="0">
    <w:p w14:paraId="4CCB5545" w14:textId="77777777" w:rsidR="00090653" w:rsidRDefault="000906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5F080C"/>
    <w:multiLevelType w:val="hybridMultilevel"/>
    <w:tmpl w:val="EB28F44A"/>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3" w15:restartNumberingAfterBreak="0">
    <w:nsid w:val="096F0DC1"/>
    <w:multiLevelType w:val="hybridMultilevel"/>
    <w:tmpl w:val="F758B6BC"/>
    <w:lvl w:ilvl="0" w:tplc="0044733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2F43DC"/>
    <w:multiLevelType w:val="multilevel"/>
    <w:tmpl w:val="122F43D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sz w:val="2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4B7BED"/>
    <w:multiLevelType w:val="hybridMultilevel"/>
    <w:tmpl w:val="0318E8B0"/>
    <w:lvl w:ilvl="0" w:tplc="665A15A8">
      <w:start w:val="1"/>
      <w:numFmt w:val="bullet"/>
      <w:lvlText w:val="•"/>
      <w:lvlJc w:val="left"/>
      <w:pPr>
        <w:tabs>
          <w:tab w:val="num" w:pos="644"/>
        </w:tabs>
        <w:ind w:left="644" w:hanging="360"/>
      </w:pPr>
      <w:rPr>
        <w:rFonts w:ascii="Arial" w:hAnsi="Arial" w:cs="Times New Roman" w:hint="default"/>
      </w:rPr>
    </w:lvl>
    <w:lvl w:ilvl="1" w:tplc="14102C1E">
      <w:start w:val="1"/>
      <w:numFmt w:val="bullet"/>
      <w:lvlText w:val="•"/>
      <w:lvlJc w:val="left"/>
      <w:pPr>
        <w:tabs>
          <w:tab w:val="num" w:pos="1364"/>
        </w:tabs>
        <w:ind w:left="1364" w:hanging="360"/>
      </w:pPr>
      <w:rPr>
        <w:rFonts w:ascii="Arial" w:hAnsi="Arial" w:cs="Times New Roman" w:hint="default"/>
      </w:rPr>
    </w:lvl>
    <w:lvl w:ilvl="2" w:tplc="E82A2A4A">
      <w:numFmt w:val="bullet"/>
      <w:lvlText w:val="•"/>
      <w:lvlJc w:val="left"/>
      <w:pPr>
        <w:tabs>
          <w:tab w:val="num" w:pos="2084"/>
        </w:tabs>
        <w:ind w:left="2084" w:hanging="360"/>
      </w:pPr>
      <w:rPr>
        <w:rFonts w:ascii="Arial" w:hAnsi="Arial" w:cs="Times New Roman" w:hint="default"/>
      </w:rPr>
    </w:lvl>
    <w:lvl w:ilvl="3" w:tplc="DFDEE6D2">
      <w:start w:val="1"/>
      <w:numFmt w:val="bullet"/>
      <w:lvlText w:val="•"/>
      <w:lvlJc w:val="left"/>
      <w:pPr>
        <w:tabs>
          <w:tab w:val="num" w:pos="2804"/>
        </w:tabs>
        <w:ind w:left="2804" w:hanging="360"/>
      </w:pPr>
      <w:rPr>
        <w:rFonts w:ascii="Arial" w:hAnsi="Arial" w:cs="Times New Roman" w:hint="default"/>
      </w:rPr>
    </w:lvl>
    <w:lvl w:ilvl="4" w:tplc="B0F8ACA0">
      <w:start w:val="1"/>
      <w:numFmt w:val="bullet"/>
      <w:lvlText w:val="•"/>
      <w:lvlJc w:val="left"/>
      <w:pPr>
        <w:tabs>
          <w:tab w:val="num" w:pos="3524"/>
        </w:tabs>
        <w:ind w:left="3524" w:hanging="360"/>
      </w:pPr>
      <w:rPr>
        <w:rFonts w:ascii="Arial" w:hAnsi="Arial" w:cs="Times New Roman" w:hint="default"/>
      </w:rPr>
    </w:lvl>
    <w:lvl w:ilvl="5" w:tplc="0AB8A372">
      <w:start w:val="1"/>
      <w:numFmt w:val="bullet"/>
      <w:lvlText w:val="•"/>
      <w:lvlJc w:val="left"/>
      <w:pPr>
        <w:tabs>
          <w:tab w:val="num" w:pos="4244"/>
        </w:tabs>
        <w:ind w:left="4244" w:hanging="360"/>
      </w:pPr>
      <w:rPr>
        <w:rFonts w:ascii="Arial" w:hAnsi="Arial" w:cs="Times New Roman" w:hint="default"/>
      </w:rPr>
    </w:lvl>
    <w:lvl w:ilvl="6" w:tplc="F9AE472C">
      <w:start w:val="1"/>
      <w:numFmt w:val="bullet"/>
      <w:lvlText w:val="•"/>
      <w:lvlJc w:val="left"/>
      <w:pPr>
        <w:tabs>
          <w:tab w:val="num" w:pos="4964"/>
        </w:tabs>
        <w:ind w:left="4964" w:hanging="360"/>
      </w:pPr>
      <w:rPr>
        <w:rFonts w:ascii="Arial" w:hAnsi="Arial" w:cs="Times New Roman" w:hint="default"/>
      </w:rPr>
    </w:lvl>
    <w:lvl w:ilvl="7" w:tplc="D6A633B4">
      <w:start w:val="1"/>
      <w:numFmt w:val="bullet"/>
      <w:lvlText w:val="•"/>
      <w:lvlJc w:val="left"/>
      <w:pPr>
        <w:tabs>
          <w:tab w:val="num" w:pos="5684"/>
        </w:tabs>
        <w:ind w:left="5684" w:hanging="360"/>
      </w:pPr>
      <w:rPr>
        <w:rFonts w:ascii="Arial" w:hAnsi="Arial" w:cs="Times New Roman" w:hint="default"/>
      </w:rPr>
    </w:lvl>
    <w:lvl w:ilvl="8" w:tplc="0CE02B7A">
      <w:start w:val="1"/>
      <w:numFmt w:val="bullet"/>
      <w:lvlText w:val="•"/>
      <w:lvlJc w:val="left"/>
      <w:pPr>
        <w:tabs>
          <w:tab w:val="num" w:pos="6404"/>
        </w:tabs>
        <w:ind w:left="6404" w:hanging="360"/>
      </w:pPr>
      <w:rPr>
        <w:rFonts w:ascii="Arial" w:hAnsi="Arial" w:cs="Times New Roman"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B22305"/>
    <w:multiLevelType w:val="hybridMultilevel"/>
    <w:tmpl w:val="67B88D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63B38"/>
    <w:multiLevelType w:val="hybridMultilevel"/>
    <w:tmpl w:val="30FCA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3"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8B5CE6"/>
    <w:multiLevelType w:val="hybridMultilevel"/>
    <w:tmpl w:val="50F092AE"/>
    <w:lvl w:ilvl="0" w:tplc="9C32BDD0">
      <w:start w:val="1"/>
      <w:numFmt w:val="bullet"/>
      <w:lvlText w:val="•"/>
      <w:lvlJc w:val="left"/>
      <w:pPr>
        <w:tabs>
          <w:tab w:val="num" w:pos="644"/>
        </w:tabs>
        <w:ind w:left="644" w:hanging="360"/>
      </w:pPr>
      <w:rPr>
        <w:rFonts w:ascii="Arial" w:hAnsi="Arial" w:hint="default"/>
      </w:rPr>
    </w:lvl>
    <w:lvl w:ilvl="1" w:tplc="6694A010">
      <w:start w:val="1"/>
      <w:numFmt w:val="bullet"/>
      <w:lvlText w:val="•"/>
      <w:lvlJc w:val="left"/>
      <w:pPr>
        <w:tabs>
          <w:tab w:val="num" w:pos="1364"/>
        </w:tabs>
        <w:ind w:left="1364" w:hanging="360"/>
      </w:pPr>
      <w:rPr>
        <w:rFonts w:ascii="Arial" w:hAnsi="Arial" w:hint="default"/>
      </w:rPr>
    </w:lvl>
    <w:lvl w:ilvl="2" w:tplc="2E1EC008">
      <w:start w:val="1"/>
      <w:numFmt w:val="bullet"/>
      <w:lvlText w:val="•"/>
      <w:lvlJc w:val="left"/>
      <w:pPr>
        <w:tabs>
          <w:tab w:val="num" w:pos="2084"/>
        </w:tabs>
        <w:ind w:left="2084" w:hanging="360"/>
      </w:pPr>
      <w:rPr>
        <w:rFonts w:ascii="Arial" w:hAnsi="Arial" w:hint="default"/>
      </w:rPr>
    </w:lvl>
    <w:lvl w:ilvl="3" w:tplc="7D6E4986" w:tentative="1">
      <w:start w:val="1"/>
      <w:numFmt w:val="bullet"/>
      <w:lvlText w:val="•"/>
      <w:lvlJc w:val="left"/>
      <w:pPr>
        <w:tabs>
          <w:tab w:val="num" w:pos="2804"/>
        </w:tabs>
        <w:ind w:left="2804" w:hanging="360"/>
      </w:pPr>
      <w:rPr>
        <w:rFonts w:ascii="Arial" w:hAnsi="Arial" w:hint="default"/>
      </w:rPr>
    </w:lvl>
    <w:lvl w:ilvl="4" w:tplc="2CC84990" w:tentative="1">
      <w:start w:val="1"/>
      <w:numFmt w:val="bullet"/>
      <w:lvlText w:val="•"/>
      <w:lvlJc w:val="left"/>
      <w:pPr>
        <w:tabs>
          <w:tab w:val="num" w:pos="3524"/>
        </w:tabs>
        <w:ind w:left="3524" w:hanging="360"/>
      </w:pPr>
      <w:rPr>
        <w:rFonts w:ascii="Arial" w:hAnsi="Arial" w:hint="default"/>
      </w:rPr>
    </w:lvl>
    <w:lvl w:ilvl="5" w:tplc="A94A07A4" w:tentative="1">
      <w:start w:val="1"/>
      <w:numFmt w:val="bullet"/>
      <w:lvlText w:val="•"/>
      <w:lvlJc w:val="left"/>
      <w:pPr>
        <w:tabs>
          <w:tab w:val="num" w:pos="4244"/>
        </w:tabs>
        <w:ind w:left="4244" w:hanging="360"/>
      </w:pPr>
      <w:rPr>
        <w:rFonts w:ascii="Arial" w:hAnsi="Arial" w:hint="default"/>
      </w:rPr>
    </w:lvl>
    <w:lvl w:ilvl="6" w:tplc="5B449E3C" w:tentative="1">
      <w:start w:val="1"/>
      <w:numFmt w:val="bullet"/>
      <w:lvlText w:val="•"/>
      <w:lvlJc w:val="left"/>
      <w:pPr>
        <w:tabs>
          <w:tab w:val="num" w:pos="4964"/>
        </w:tabs>
        <w:ind w:left="4964" w:hanging="360"/>
      </w:pPr>
      <w:rPr>
        <w:rFonts w:ascii="Arial" w:hAnsi="Arial" w:hint="default"/>
      </w:rPr>
    </w:lvl>
    <w:lvl w:ilvl="7" w:tplc="CEC6067C" w:tentative="1">
      <w:start w:val="1"/>
      <w:numFmt w:val="bullet"/>
      <w:lvlText w:val="•"/>
      <w:lvlJc w:val="left"/>
      <w:pPr>
        <w:tabs>
          <w:tab w:val="num" w:pos="5684"/>
        </w:tabs>
        <w:ind w:left="5684" w:hanging="360"/>
      </w:pPr>
      <w:rPr>
        <w:rFonts w:ascii="Arial" w:hAnsi="Arial" w:hint="default"/>
      </w:rPr>
    </w:lvl>
    <w:lvl w:ilvl="8" w:tplc="FDE01EAE"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20174E5E"/>
    <w:multiLevelType w:val="hybridMultilevel"/>
    <w:tmpl w:val="61929A96"/>
    <w:lvl w:ilvl="0" w:tplc="0809000F">
      <w:start w:val="1"/>
      <w:numFmt w:val="decimal"/>
      <w:lvlText w:val="%1."/>
      <w:lvlJc w:val="left"/>
      <w:pPr>
        <w:ind w:left="750" w:hanging="42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2152016B"/>
    <w:multiLevelType w:val="hybridMultilevel"/>
    <w:tmpl w:val="218AF0D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12694B"/>
    <w:multiLevelType w:val="hybridMultilevel"/>
    <w:tmpl w:val="5F8ACAB2"/>
    <w:lvl w:ilvl="0" w:tplc="041D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484686"/>
    <w:multiLevelType w:val="hybridMultilevel"/>
    <w:tmpl w:val="9A180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93743C"/>
    <w:multiLevelType w:val="multilevel"/>
    <w:tmpl w:val="4493743C"/>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D01695"/>
    <w:multiLevelType w:val="hybridMultilevel"/>
    <w:tmpl w:val="8FAE6B00"/>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5">
      <w:start w:val="1"/>
      <w:numFmt w:val="bullet"/>
      <w:lvlText w:val=""/>
      <w:lvlJc w:val="left"/>
      <w:pPr>
        <w:ind w:left="1244" w:hanging="420"/>
      </w:pPr>
      <w:rPr>
        <w:rFonts w:ascii="Wingdings" w:hAnsi="Wingdings" w:hint="default"/>
      </w:rPr>
    </w:lvl>
    <w:lvl w:ilvl="6" w:tplc="60AE8B56">
      <w:start w:val="1"/>
      <w:numFmt w:val="bullet"/>
      <w:lvlText w:val="•"/>
      <w:lvlJc w:val="left"/>
      <w:pPr>
        <w:ind w:left="1130" w:hanging="420"/>
      </w:pPr>
      <w:rPr>
        <w:rFonts w:ascii="Arial" w:hAnsi="Arial" w:hint="default"/>
      </w:rPr>
    </w:lvl>
    <w:lvl w:ilvl="7" w:tplc="60AE8B56">
      <w:start w:val="1"/>
      <w:numFmt w:val="bullet"/>
      <w:lvlText w:val="•"/>
      <w:lvlJc w:val="left"/>
      <w:pPr>
        <w:ind w:left="2084" w:hanging="420"/>
      </w:pPr>
      <w:rPr>
        <w:rFonts w:ascii="Arial" w:hAnsi="Arial" w:hint="default"/>
      </w:rPr>
    </w:lvl>
    <w:lvl w:ilvl="8" w:tplc="04090005" w:tentative="1">
      <w:start w:val="1"/>
      <w:numFmt w:val="bullet"/>
      <w:lvlText w:val=""/>
      <w:lvlJc w:val="left"/>
      <w:pPr>
        <w:ind w:left="2504"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B11E75"/>
    <w:multiLevelType w:val="hybridMultilevel"/>
    <w:tmpl w:val="3AAE9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3"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4BC520F"/>
    <w:multiLevelType w:val="hybridMultilevel"/>
    <w:tmpl w:val="8892E05C"/>
    <w:lvl w:ilvl="0" w:tplc="665A15A8">
      <w:start w:val="1"/>
      <w:numFmt w:val="bullet"/>
      <w:lvlText w:val="•"/>
      <w:lvlJc w:val="left"/>
      <w:pPr>
        <w:tabs>
          <w:tab w:val="num" w:pos="644"/>
        </w:tabs>
        <w:ind w:left="644" w:hanging="360"/>
      </w:pPr>
      <w:rPr>
        <w:rFonts w:ascii="Arial" w:hAnsi="Arial" w:cs="Times New Roman" w:hint="default"/>
      </w:rPr>
    </w:lvl>
    <w:lvl w:ilvl="1" w:tplc="0809000F">
      <w:start w:val="1"/>
      <w:numFmt w:val="decimal"/>
      <w:lvlText w:val="%2."/>
      <w:lvlJc w:val="left"/>
      <w:pPr>
        <w:tabs>
          <w:tab w:val="num" w:pos="1364"/>
        </w:tabs>
        <w:ind w:left="1364" w:hanging="360"/>
      </w:pPr>
      <w:rPr>
        <w:rFonts w:hint="default"/>
      </w:rPr>
    </w:lvl>
    <w:lvl w:ilvl="2" w:tplc="E82A2A4A">
      <w:numFmt w:val="bullet"/>
      <w:lvlText w:val="•"/>
      <w:lvlJc w:val="left"/>
      <w:pPr>
        <w:tabs>
          <w:tab w:val="num" w:pos="2084"/>
        </w:tabs>
        <w:ind w:left="2084" w:hanging="360"/>
      </w:pPr>
      <w:rPr>
        <w:rFonts w:ascii="Arial" w:hAnsi="Arial" w:cs="Times New Roman" w:hint="default"/>
      </w:rPr>
    </w:lvl>
    <w:lvl w:ilvl="3" w:tplc="DFDEE6D2">
      <w:start w:val="1"/>
      <w:numFmt w:val="bullet"/>
      <w:lvlText w:val="•"/>
      <w:lvlJc w:val="left"/>
      <w:pPr>
        <w:tabs>
          <w:tab w:val="num" w:pos="2804"/>
        </w:tabs>
        <w:ind w:left="2804" w:hanging="360"/>
      </w:pPr>
      <w:rPr>
        <w:rFonts w:ascii="Arial" w:hAnsi="Arial" w:cs="Times New Roman" w:hint="default"/>
      </w:rPr>
    </w:lvl>
    <w:lvl w:ilvl="4" w:tplc="B0F8ACA0">
      <w:start w:val="1"/>
      <w:numFmt w:val="bullet"/>
      <w:lvlText w:val="•"/>
      <w:lvlJc w:val="left"/>
      <w:pPr>
        <w:tabs>
          <w:tab w:val="num" w:pos="3524"/>
        </w:tabs>
        <w:ind w:left="3524" w:hanging="360"/>
      </w:pPr>
      <w:rPr>
        <w:rFonts w:ascii="Arial" w:hAnsi="Arial" w:cs="Times New Roman" w:hint="default"/>
      </w:rPr>
    </w:lvl>
    <w:lvl w:ilvl="5" w:tplc="0AB8A372">
      <w:start w:val="1"/>
      <w:numFmt w:val="bullet"/>
      <w:lvlText w:val="•"/>
      <w:lvlJc w:val="left"/>
      <w:pPr>
        <w:tabs>
          <w:tab w:val="num" w:pos="4244"/>
        </w:tabs>
        <w:ind w:left="4244" w:hanging="360"/>
      </w:pPr>
      <w:rPr>
        <w:rFonts w:ascii="Arial" w:hAnsi="Arial" w:cs="Times New Roman" w:hint="default"/>
      </w:rPr>
    </w:lvl>
    <w:lvl w:ilvl="6" w:tplc="F9AE472C">
      <w:start w:val="1"/>
      <w:numFmt w:val="bullet"/>
      <w:lvlText w:val="•"/>
      <w:lvlJc w:val="left"/>
      <w:pPr>
        <w:tabs>
          <w:tab w:val="num" w:pos="4964"/>
        </w:tabs>
        <w:ind w:left="4964" w:hanging="360"/>
      </w:pPr>
      <w:rPr>
        <w:rFonts w:ascii="Arial" w:hAnsi="Arial" w:cs="Times New Roman" w:hint="default"/>
      </w:rPr>
    </w:lvl>
    <w:lvl w:ilvl="7" w:tplc="D6A633B4">
      <w:start w:val="1"/>
      <w:numFmt w:val="bullet"/>
      <w:lvlText w:val="•"/>
      <w:lvlJc w:val="left"/>
      <w:pPr>
        <w:tabs>
          <w:tab w:val="num" w:pos="5684"/>
        </w:tabs>
        <w:ind w:left="5684" w:hanging="360"/>
      </w:pPr>
      <w:rPr>
        <w:rFonts w:ascii="Arial" w:hAnsi="Arial" w:cs="Times New Roman" w:hint="default"/>
      </w:rPr>
    </w:lvl>
    <w:lvl w:ilvl="8" w:tplc="0CE02B7A">
      <w:start w:val="1"/>
      <w:numFmt w:val="bullet"/>
      <w:lvlText w:val="•"/>
      <w:lvlJc w:val="left"/>
      <w:pPr>
        <w:tabs>
          <w:tab w:val="num" w:pos="6404"/>
        </w:tabs>
        <w:ind w:left="6404" w:hanging="360"/>
      </w:pPr>
      <w:rPr>
        <w:rFonts w:ascii="Arial" w:hAnsi="Arial" w:cs="Times New Roman" w:hint="default"/>
      </w:rPr>
    </w:lvl>
  </w:abstractNum>
  <w:abstractNum w:abstractNumId="35"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5F1D8F"/>
    <w:multiLevelType w:val="hybridMultilevel"/>
    <w:tmpl w:val="42A8B87A"/>
    <w:lvl w:ilvl="0" w:tplc="00447332">
      <w:start w:val="1"/>
      <w:numFmt w:val="bullet"/>
      <w:lvlText w:val="•"/>
      <w:lvlJc w:val="left"/>
      <w:pPr>
        <w:ind w:left="750" w:hanging="42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9" w15:restartNumberingAfterBreak="0">
    <w:nsid w:val="72BC76AA"/>
    <w:multiLevelType w:val="hybridMultilevel"/>
    <w:tmpl w:val="D84A1B3A"/>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8"/>
  </w:num>
  <w:num w:numId="2">
    <w:abstractNumId w:val="42"/>
  </w:num>
  <w:num w:numId="3">
    <w:abstractNumId w:val="29"/>
  </w:num>
  <w:num w:numId="4">
    <w:abstractNumId w:val="26"/>
  </w:num>
  <w:num w:numId="5">
    <w:abstractNumId w:val="4"/>
  </w:num>
  <w:num w:numId="6">
    <w:abstractNumId w:val="40"/>
  </w:num>
  <w:num w:numId="7">
    <w:abstractNumId w:val="38"/>
  </w:num>
  <w:num w:numId="8">
    <w:abstractNumId w:val="43"/>
  </w:num>
  <w:num w:numId="9">
    <w:abstractNumId w:val="0"/>
  </w:num>
  <w:num w:numId="10">
    <w:abstractNumId w:val="32"/>
  </w:num>
  <w:num w:numId="11">
    <w:abstractNumId w:val="17"/>
  </w:num>
  <w:num w:numId="12">
    <w:abstractNumId w:val="1"/>
  </w:num>
  <w:num w:numId="13">
    <w:abstractNumId w:val="33"/>
  </w:num>
  <w:num w:numId="14">
    <w:abstractNumId w:val="7"/>
  </w:num>
  <w:num w:numId="15">
    <w:abstractNumId w:val="35"/>
  </w:num>
  <w:num w:numId="16">
    <w:abstractNumId w:val="13"/>
  </w:num>
  <w:num w:numId="17">
    <w:abstractNumId w:val="21"/>
  </w:num>
  <w:num w:numId="18">
    <w:abstractNumId w:val="30"/>
  </w:num>
  <w:num w:numId="19">
    <w:abstractNumId w:val="20"/>
  </w:num>
  <w:num w:numId="20">
    <w:abstractNumId w:val="6"/>
  </w:num>
  <w:num w:numId="21">
    <w:abstractNumId w:val="19"/>
  </w:num>
  <w:num w:numId="22">
    <w:abstractNumId w:val="25"/>
  </w:num>
  <w:num w:numId="23">
    <w:abstractNumId w:val="14"/>
  </w:num>
  <w:num w:numId="24">
    <w:abstractNumId w:val="22"/>
  </w:num>
  <w:num w:numId="25">
    <w:abstractNumId w:val="27"/>
  </w:num>
  <w:num w:numId="26">
    <w:abstractNumId w:val="11"/>
  </w:num>
  <w:num w:numId="27">
    <w:abstractNumId w:val="39"/>
  </w:num>
  <w:num w:numId="28">
    <w:abstractNumId w:val="9"/>
  </w:num>
  <w:num w:numId="29">
    <w:abstractNumId w:val="37"/>
  </w:num>
  <w:num w:numId="30">
    <w:abstractNumId w:val="18"/>
  </w:num>
  <w:num w:numId="31">
    <w:abstractNumId w:val="23"/>
  </w:num>
  <w:num w:numId="32">
    <w:abstractNumId w:val="12"/>
  </w:num>
  <w:num w:numId="33">
    <w:abstractNumId w:val="41"/>
  </w:num>
  <w:num w:numId="34">
    <w:abstractNumId w:val="31"/>
  </w:num>
  <w:num w:numId="35">
    <w:abstractNumId w:val="3"/>
  </w:num>
  <w:num w:numId="36">
    <w:abstractNumId w:val="16"/>
  </w:num>
  <w:num w:numId="37">
    <w:abstractNumId w:val="8"/>
  </w:num>
  <w:num w:numId="38">
    <w:abstractNumId w:val="8"/>
  </w:num>
  <w:num w:numId="39">
    <w:abstractNumId w:val="34"/>
  </w:num>
  <w:num w:numId="40">
    <w:abstractNumId w:val="36"/>
  </w:num>
  <w:num w:numId="41">
    <w:abstractNumId w:val="15"/>
  </w:num>
  <w:num w:numId="42">
    <w:abstractNumId w:val="10"/>
  </w:num>
  <w:num w:numId="43">
    <w:abstractNumId w:val="2"/>
  </w:num>
  <w:num w:numId="44">
    <w:abstractNumId w:val="24"/>
  </w:num>
  <w:num w:numId="4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6B83"/>
    <w:rsid w:val="00027610"/>
    <w:rsid w:val="000278B8"/>
    <w:rsid w:val="000308AE"/>
    <w:rsid w:val="00030A15"/>
    <w:rsid w:val="00030DE8"/>
    <w:rsid w:val="00031A35"/>
    <w:rsid w:val="00031E5F"/>
    <w:rsid w:val="00032BF2"/>
    <w:rsid w:val="00033129"/>
    <w:rsid w:val="0003389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14F"/>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2621"/>
    <w:rsid w:val="00083880"/>
    <w:rsid w:val="00084EF6"/>
    <w:rsid w:val="00084F31"/>
    <w:rsid w:val="00085193"/>
    <w:rsid w:val="000851DE"/>
    <w:rsid w:val="00085358"/>
    <w:rsid w:val="00085A6C"/>
    <w:rsid w:val="00086A6E"/>
    <w:rsid w:val="00086A6F"/>
    <w:rsid w:val="00086B41"/>
    <w:rsid w:val="00087730"/>
    <w:rsid w:val="00087FE2"/>
    <w:rsid w:val="00090653"/>
    <w:rsid w:val="00090E68"/>
    <w:rsid w:val="00091081"/>
    <w:rsid w:val="00091A98"/>
    <w:rsid w:val="00091E72"/>
    <w:rsid w:val="000926C6"/>
    <w:rsid w:val="00092FCA"/>
    <w:rsid w:val="00093A40"/>
    <w:rsid w:val="00093ABB"/>
    <w:rsid w:val="00093DAB"/>
    <w:rsid w:val="00094037"/>
    <w:rsid w:val="00094B89"/>
    <w:rsid w:val="00095196"/>
    <w:rsid w:val="0009524D"/>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6A07"/>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C4E"/>
    <w:rsid w:val="000F3FE3"/>
    <w:rsid w:val="000F409B"/>
    <w:rsid w:val="000F46FF"/>
    <w:rsid w:val="000F6CEB"/>
    <w:rsid w:val="000F7FEC"/>
    <w:rsid w:val="00100BDB"/>
    <w:rsid w:val="00102D92"/>
    <w:rsid w:val="001039C1"/>
    <w:rsid w:val="00103BF1"/>
    <w:rsid w:val="0010488B"/>
    <w:rsid w:val="00104A5D"/>
    <w:rsid w:val="00104CBF"/>
    <w:rsid w:val="001065A4"/>
    <w:rsid w:val="00106613"/>
    <w:rsid w:val="001071D4"/>
    <w:rsid w:val="0010764A"/>
    <w:rsid w:val="00110400"/>
    <w:rsid w:val="001105D3"/>
    <w:rsid w:val="00112066"/>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419"/>
    <w:rsid w:val="00141C30"/>
    <w:rsid w:val="00141D3F"/>
    <w:rsid w:val="0014253C"/>
    <w:rsid w:val="00142543"/>
    <w:rsid w:val="0014266F"/>
    <w:rsid w:val="00142978"/>
    <w:rsid w:val="0014377B"/>
    <w:rsid w:val="0014453B"/>
    <w:rsid w:val="00144594"/>
    <w:rsid w:val="001453B0"/>
    <w:rsid w:val="0014694E"/>
    <w:rsid w:val="00146D3F"/>
    <w:rsid w:val="0014763F"/>
    <w:rsid w:val="00147BFA"/>
    <w:rsid w:val="0015032D"/>
    <w:rsid w:val="00151B84"/>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B11"/>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6C4C"/>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65"/>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5E3F"/>
    <w:rsid w:val="001E6020"/>
    <w:rsid w:val="001E60D3"/>
    <w:rsid w:val="001E6C1F"/>
    <w:rsid w:val="001E7431"/>
    <w:rsid w:val="001F0541"/>
    <w:rsid w:val="001F06F5"/>
    <w:rsid w:val="001F089A"/>
    <w:rsid w:val="001F178A"/>
    <w:rsid w:val="001F1C57"/>
    <w:rsid w:val="001F3613"/>
    <w:rsid w:val="001F3B85"/>
    <w:rsid w:val="001F48BC"/>
    <w:rsid w:val="001F6769"/>
    <w:rsid w:val="001F7B7B"/>
    <w:rsid w:val="00200D51"/>
    <w:rsid w:val="00201AED"/>
    <w:rsid w:val="002026D6"/>
    <w:rsid w:val="00202719"/>
    <w:rsid w:val="00202952"/>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2DD8"/>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225"/>
    <w:rsid w:val="00244860"/>
    <w:rsid w:val="00244BB5"/>
    <w:rsid w:val="00244ECC"/>
    <w:rsid w:val="0024535F"/>
    <w:rsid w:val="002464A4"/>
    <w:rsid w:val="00247360"/>
    <w:rsid w:val="002506E7"/>
    <w:rsid w:val="002508D1"/>
    <w:rsid w:val="00250A0C"/>
    <w:rsid w:val="00251643"/>
    <w:rsid w:val="002521ED"/>
    <w:rsid w:val="002524AE"/>
    <w:rsid w:val="00252537"/>
    <w:rsid w:val="00252775"/>
    <w:rsid w:val="00253759"/>
    <w:rsid w:val="00253FF9"/>
    <w:rsid w:val="0025518F"/>
    <w:rsid w:val="00255E54"/>
    <w:rsid w:val="0025724F"/>
    <w:rsid w:val="00257C0B"/>
    <w:rsid w:val="002611A6"/>
    <w:rsid w:val="002616B5"/>
    <w:rsid w:val="002636F9"/>
    <w:rsid w:val="002640CD"/>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3AD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97FFE"/>
    <w:rsid w:val="002A0124"/>
    <w:rsid w:val="002A0EC9"/>
    <w:rsid w:val="002A1DA6"/>
    <w:rsid w:val="002A233D"/>
    <w:rsid w:val="002A32BF"/>
    <w:rsid w:val="002A3515"/>
    <w:rsid w:val="002A3D98"/>
    <w:rsid w:val="002A461C"/>
    <w:rsid w:val="002A4946"/>
    <w:rsid w:val="002A4D6C"/>
    <w:rsid w:val="002A4F8A"/>
    <w:rsid w:val="002A5BFB"/>
    <w:rsid w:val="002A5C35"/>
    <w:rsid w:val="002A5FBC"/>
    <w:rsid w:val="002A5FEC"/>
    <w:rsid w:val="002A610A"/>
    <w:rsid w:val="002A66A3"/>
    <w:rsid w:val="002A6F10"/>
    <w:rsid w:val="002A6FDD"/>
    <w:rsid w:val="002B0178"/>
    <w:rsid w:val="002B12C8"/>
    <w:rsid w:val="002B1714"/>
    <w:rsid w:val="002B1B24"/>
    <w:rsid w:val="002B2AD0"/>
    <w:rsid w:val="002B338A"/>
    <w:rsid w:val="002B4252"/>
    <w:rsid w:val="002B5486"/>
    <w:rsid w:val="002B6B85"/>
    <w:rsid w:val="002B7713"/>
    <w:rsid w:val="002B7EB9"/>
    <w:rsid w:val="002C0869"/>
    <w:rsid w:val="002C1170"/>
    <w:rsid w:val="002C1C0C"/>
    <w:rsid w:val="002C21B4"/>
    <w:rsid w:val="002C2F5C"/>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4D16"/>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903"/>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27C96"/>
    <w:rsid w:val="00331478"/>
    <w:rsid w:val="003317D7"/>
    <w:rsid w:val="00332A0A"/>
    <w:rsid w:val="00332C68"/>
    <w:rsid w:val="003348CF"/>
    <w:rsid w:val="00335D7F"/>
    <w:rsid w:val="003362BA"/>
    <w:rsid w:val="00340F5B"/>
    <w:rsid w:val="00341439"/>
    <w:rsid w:val="00341E06"/>
    <w:rsid w:val="00342DC9"/>
    <w:rsid w:val="00344CDB"/>
    <w:rsid w:val="00345727"/>
    <w:rsid w:val="00345D06"/>
    <w:rsid w:val="00346294"/>
    <w:rsid w:val="003462E7"/>
    <w:rsid w:val="00346495"/>
    <w:rsid w:val="00346573"/>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34B1"/>
    <w:rsid w:val="0036385F"/>
    <w:rsid w:val="00364998"/>
    <w:rsid w:val="0036512D"/>
    <w:rsid w:val="0036745C"/>
    <w:rsid w:val="0036795D"/>
    <w:rsid w:val="00367A49"/>
    <w:rsid w:val="00370082"/>
    <w:rsid w:val="0037087A"/>
    <w:rsid w:val="00370B27"/>
    <w:rsid w:val="00371D2E"/>
    <w:rsid w:val="00372408"/>
    <w:rsid w:val="00372B12"/>
    <w:rsid w:val="00372E07"/>
    <w:rsid w:val="003731CC"/>
    <w:rsid w:val="003736E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F28"/>
    <w:rsid w:val="003940E2"/>
    <w:rsid w:val="003954C6"/>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0A3"/>
    <w:rsid w:val="003E13CD"/>
    <w:rsid w:val="003E185B"/>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01D3"/>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3A9"/>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ADC"/>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1C14"/>
    <w:rsid w:val="004838E0"/>
    <w:rsid w:val="00483B9C"/>
    <w:rsid w:val="00483F1A"/>
    <w:rsid w:val="0048405E"/>
    <w:rsid w:val="00484679"/>
    <w:rsid w:val="00485A2C"/>
    <w:rsid w:val="004868BA"/>
    <w:rsid w:val="00487708"/>
    <w:rsid w:val="00487FD0"/>
    <w:rsid w:val="00492B76"/>
    <w:rsid w:val="00492FC7"/>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560E"/>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4928"/>
    <w:rsid w:val="00525633"/>
    <w:rsid w:val="005258A3"/>
    <w:rsid w:val="00526CF4"/>
    <w:rsid w:val="0053051C"/>
    <w:rsid w:val="00531529"/>
    <w:rsid w:val="00531EDA"/>
    <w:rsid w:val="00531FB7"/>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1A"/>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23B"/>
    <w:rsid w:val="005A35A7"/>
    <w:rsid w:val="005A368F"/>
    <w:rsid w:val="005A3CD5"/>
    <w:rsid w:val="005A3ECF"/>
    <w:rsid w:val="005A4032"/>
    <w:rsid w:val="005A441F"/>
    <w:rsid w:val="005A48E7"/>
    <w:rsid w:val="005A4FD9"/>
    <w:rsid w:val="005A5600"/>
    <w:rsid w:val="005A5671"/>
    <w:rsid w:val="005A6193"/>
    <w:rsid w:val="005A635E"/>
    <w:rsid w:val="005B020A"/>
    <w:rsid w:val="005B0E49"/>
    <w:rsid w:val="005B1633"/>
    <w:rsid w:val="005B1F64"/>
    <w:rsid w:val="005B23B1"/>
    <w:rsid w:val="005B36FC"/>
    <w:rsid w:val="005B3BF9"/>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AFF"/>
    <w:rsid w:val="005D0BCB"/>
    <w:rsid w:val="005D0C90"/>
    <w:rsid w:val="005D1238"/>
    <w:rsid w:val="005D33B0"/>
    <w:rsid w:val="005D3C59"/>
    <w:rsid w:val="005D3E1C"/>
    <w:rsid w:val="005D4EA4"/>
    <w:rsid w:val="005D6F96"/>
    <w:rsid w:val="005D76CC"/>
    <w:rsid w:val="005E4F17"/>
    <w:rsid w:val="005E5C5A"/>
    <w:rsid w:val="005F09AC"/>
    <w:rsid w:val="005F16E3"/>
    <w:rsid w:val="005F25C7"/>
    <w:rsid w:val="005F27D1"/>
    <w:rsid w:val="005F29D7"/>
    <w:rsid w:val="005F2CFA"/>
    <w:rsid w:val="005F3133"/>
    <w:rsid w:val="005F3ABB"/>
    <w:rsid w:val="005F4DD0"/>
    <w:rsid w:val="005F5BEC"/>
    <w:rsid w:val="005F604E"/>
    <w:rsid w:val="005F67F2"/>
    <w:rsid w:val="005F74EB"/>
    <w:rsid w:val="0060058D"/>
    <w:rsid w:val="0060119A"/>
    <w:rsid w:val="00601376"/>
    <w:rsid w:val="006013BC"/>
    <w:rsid w:val="0060192C"/>
    <w:rsid w:val="00602BB8"/>
    <w:rsid w:val="00602FC6"/>
    <w:rsid w:val="00603378"/>
    <w:rsid w:val="0060423A"/>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6BF8"/>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4D80"/>
    <w:rsid w:val="0067651B"/>
    <w:rsid w:val="00676915"/>
    <w:rsid w:val="00676B76"/>
    <w:rsid w:val="0067755A"/>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CCB"/>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7CA"/>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275"/>
    <w:rsid w:val="007303FB"/>
    <w:rsid w:val="00730886"/>
    <w:rsid w:val="007308ED"/>
    <w:rsid w:val="007309EE"/>
    <w:rsid w:val="00730B54"/>
    <w:rsid w:val="0073110A"/>
    <w:rsid w:val="00732778"/>
    <w:rsid w:val="00732AA5"/>
    <w:rsid w:val="00733769"/>
    <w:rsid w:val="0073419C"/>
    <w:rsid w:val="007341C4"/>
    <w:rsid w:val="00734D40"/>
    <w:rsid w:val="007378E6"/>
    <w:rsid w:val="0074110A"/>
    <w:rsid w:val="00741C08"/>
    <w:rsid w:val="00744132"/>
    <w:rsid w:val="007459C4"/>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74F"/>
    <w:rsid w:val="00757FCD"/>
    <w:rsid w:val="00760CBF"/>
    <w:rsid w:val="007614C0"/>
    <w:rsid w:val="007630DE"/>
    <w:rsid w:val="0076321B"/>
    <w:rsid w:val="007637FC"/>
    <w:rsid w:val="00764DED"/>
    <w:rsid w:val="00765456"/>
    <w:rsid w:val="007675FD"/>
    <w:rsid w:val="007676DA"/>
    <w:rsid w:val="00770501"/>
    <w:rsid w:val="007720FB"/>
    <w:rsid w:val="0077257F"/>
    <w:rsid w:val="00772B16"/>
    <w:rsid w:val="00774322"/>
    <w:rsid w:val="007748A4"/>
    <w:rsid w:val="00774A14"/>
    <w:rsid w:val="00774B85"/>
    <w:rsid w:val="00774D93"/>
    <w:rsid w:val="00775C57"/>
    <w:rsid w:val="00776025"/>
    <w:rsid w:val="00777946"/>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AD4"/>
    <w:rsid w:val="007A6F5F"/>
    <w:rsid w:val="007B01CE"/>
    <w:rsid w:val="007B0D69"/>
    <w:rsid w:val="007B178B"/>
    <w:rsid w:val="007B1A06"/>
    <w:rsid w:val="007B1DF9"/>
    <w:rsid w:val="007B1EE7"/>
    <w:rsid w:val="007B33FE"/>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AD3"/>
    <w:rsid w:val="007C6E24"/>
    <w:rsid w:val="007C7E3A"/>
    <w:rsid w:val="007D07B4"/>
    <w:rsid w:val="007D0CEF"/>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5302"/>
    <w:rsid w:val="007E6D4B"/>
    <w:rsid w:val="007E7B92"/>
    <w:rsid w:val="007F15B7"/>
    <w:rsid w:val="007F1685"/>
    <w:rsid w:val="007F1835"/>
    <w:rsid w:val="007F2A4B"/>
    <w:rsid w:val="007F32ED"/>
    <w:rsid w:val="007F395A"/>
    <w:rsid w:val="007F411C"/>
    <w:rsid w:val="007F50EF"/>
    <w:rsid w:val="007F5234"/>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4A5"/>
    <w:rsid w:val="00826611"/>
    <w:rsid w:val="00826651"/>
    <w:rsid w:val="00826872"/>
    <w:rsid w:val="00827E1F"/>
    <w:rsid w:val="008307CA"/>
    <w:rsid w:val="00830E91"/>
    <w:rsid w:val="00830FD3"/>
    <w:rsid w:val="008319D8"/>
    <w:rsid w:val="00834FC9"/>
    <w:rsid w:val="008351DE"/>
    <w:rsid w:val="0083561B"/>
    <w:rsid w:val="00836E07"/>
    <w:rsid w:val="00837483"/>
    <w:rsid w:val="00837B28"/>
    <w:rsid w:val="00837C18"/>
    <w:rsid w:val="008411BC"/>
    <w:rsid w:val="00841435"/>
    <w:rsid w:val="008418C1"/>
    <w:rsid w:val="008419EB"/>
    <w:rsid w:val="008426FE"/>
    <w:rsid w:val="00843091"/>
    <w:rsid w:val="008430BD"/>
    <w:rsid w:val="008434CD"/>
    <w:rsid w:val="008436FA"/>
    <w:rsid w:val="008438B0"/>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7739F"/>
    <w:rsid w:val="00880C13"/>
    <w:rsid w:val="00880C4C"/>
    <w:rsid w:val="008811F5"/>
    <w:rsid w:val="00881234"/>
    <w:rsid w:val="008820E9"/>
    <w:rsid w:val="00882497"/>
    <w:rsid w:val="00882995"/>
    <w:rsid w:val="00882D2E"/>
    <w:rsid w:val="00883F9D"/>
    <w:rsid w:val="008842AD"/>
    <w:rsid w:val="00884A0C"/>
    <w:rsid w:val="00885B4B"/>
    <w:rsid w:val="00885F25"/>
    <w:rsid w:val="00885F85"/>
    <w:rsid w:val="00890698"/>
    <w:rsid w:val="0089176E"/>
    <w:rsid w:val="008917EC"/>
    <w:rsid w:val="008919E3"/>
    <w:rsid w:val="00891FAC"/>
    <w:rsid w:val="00892553"/>
    <w:rsid w:val="008928C6"/>
    <w:rsid w:val="0089489E"/>
    <w:rsid w:val="00895A3A"/>
    <w:rsid w:val="008963DD"/>
    <w:rsid w:val="00897121"/>
    <w:rsid w:val="0089728B"/>
    <w:rsid w:val="00897F62"/>
    <w:rsid w:val="008A07A9"/>
    <w:rsid w:val="008A0CF6"/>
    <w:rsid w:val="008A0F06"/>
    <w:rsid w:val="008A0FF5"/>
    <w:rsid w:val="008A33AF"/>
    <w:rsid w:val="008A3D66"/>
    <w:rsid w:val="008A3DD4"/>
    <w:rsid w:val="008A3E66"/>
    <w:rsid w:val="008A4E07"/>
    <w:rsid w:val="008A524B"/>
    <w:rsid w:val="008A5750"/>
    <w:rsid w:val="008A5D1E"/>
    <w:rsid w:val="008A5D62"/>
    <w:rsid w:val="008A67FA"/>
    <w:rsid w:val="008A695C"/>
    <w:rsid w:val="008A6A6F"/>
    <w:rsid w:val="008B0259"/>
    <w:rsid w:val="008B09B6"/>
    <w:rsid w:val="008B19E2"/>
    <w:rsid w:val="008B2BBE"/>
    <w:rsid w:val="008B2CFD"/>
    <w:rsid w:val="008B3B72"/>
    <w:rsid w:val="008B430A"/>
    <w:rsid w:val="008B563B"/>
    <w:rsid w:val="008B6B41"/>
    <w:rsid w:val="008B6BA2"/>
    <w:rsid w:val="008B71B9"/>
    <w:rsid w:val="008B7532"/>
    <w:rsid w:val="008B76DD"/>
    <w:rsid w:val="008B7931"/>
    <w:rsid w:val="008B7CB7"/>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49B2"/>
    <w:rsid w:val="008D5459"/>
    <w:rsid w:val="008D5610"/>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4EB6"/>
    <w:rsid w:val="00935B56"/>
    <w:rsid w:val="009361B8"/>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96C3E"/>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DDE"/>
    <w:rsid w:val="009B5FD5"/>
    <w:rsid w:val="009B6EB6"/>
    <w:rsid w:val="009B75DD"/>
    <w:rsid w:val="009B77BC"/>
    <w:rsid w:val="009B7857"/>
    <w:rsid w:val="009C2569"/>
    <w:rsid w:val="009C2EE1"/>
    <w:rsid w:val="009C30E6"/>
    <w:rsid w:val="009C329E"/>
    <w:rsid w:val="009C367C"/>
    <w:rsid w:val="009C485B"/>
    <w:rsid w:val="009C4965"/>
    <w:rsid w:val="009C5161"/>
    <w:rsid w:val="009C553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24C"/>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4CDF"/>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6EDA"/>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05A"/>
    <w:rsid w:val="00A754A5"/>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09E"/>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35A5"/>
    <w:rsid w:val="00AE448D"/>
    <w:rsid w:val="00AE4A45"/>
    <w:rsid w:val="00AE617A"/>
    <w:rsid w:val="00AE63EE"/>
    <w:rsid w:val="00AE6F10"/>
    <w:rsid w:val="00AE7813"/>
    <w:rsid w:val="00AE7862"/>
    <w:rsid w:val="00AE78B7"/>
    <w:rsid w:val="00AF0344"/>
    <w:rsid w:val="00AF03FB"/>
    <w:rsid w:val="00AF1B06"/>
    <w:rsid w:val="00AF1F11"/>
    <w:rsid w:val="00AF3847"/>
    <w:rsid w:val="00AF4AA5"/>
    <w:rsid w:val="00AF5B9B"/>
    <w:rsid w:val="00AF5CEF"/>
    <w:rsid w:val="00AF5E63"/>
    <w:rsid w:val="00AF5EBE"/>
    <w:rsid w:val="00AF6B56"/>
    <w:rsid w:val="00AF6C62"/>
    <w:rsid w:val="00AF7A58"/>
    <w:rsid w:val="00AF7B13"/>
    <w:rsid w:val="00B0047A"/>
    <w:rsid w:val="00B028A0"/>
    <w:rsid w:val="00B02D0A"/>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263"/>
    <w:rsid w:val="00BA3616"/>
    <w:rsid w:val="00BA5AC7"/>
    <w:rsid w:val="00BA7584"/>
    <w:rsid w:val="00BA76A2"/>
    <w:rsid w:val="00BA7CF8"/>
    <w:rsid w:val="00BB153F"/>
    <w:rsid w:val="00BB1ECC"/>
    <w:rsid w:val="00BB2B80"/>
    <w:rsid w:val="00BB315F"/>
    <w:rsid w:val="00BB31D8"/>
    <w:rsid w:val="00BB4398"/>
    <w:rsid w:val="00BB44EB"/>
    <w:rsid w:val="00BB5E28"/>
    <w:rsid w:val="00BB6934"/>
    <w:rsid w:val="00BB7541"/>
    <w:rsid w:val="00BB7DF4"/>
    <w:rsid w:val="00BC05E0"/>
    <w:rsid w:val="00BC0D77"/>
    <w:rsid w:val="00BC1245"/>
    <w:rsid w:val="00BC216A"/>
    <w:rsid w:val="00BC405B"/>
    <w:rsid w:val="00BC4315"/>
    <w:rsid w:val="00BC4449"/>
    <w:rsid w:val="00BC44B2"/>
    <w:rsid w:val="00BC4D39"/>
    <w:rsid w:val="00BC52B5"/>
    <w:rsid w:val="00BC52E5"/>
    <w:rsid w:val="00BC651F"/>
    <w:rsid w:val="00BD0446"/>
    <w:rsid w:val="00BD2054"/>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F41"/>
    <w:rsid w:val="00C05D40"/>
    <w:rsid w:val="00C069B9"/>
    <w:rsid w:val="00C06F95"/>
    <w:rsid w:val="00C0726E"/>
    <w:rsid w:val="00C073CC"/>
    <w:rsid w:val="00C07655"/>
    <w:rsid w:val="00C07763"/>
    <w:rsid w:val="00C105FC"/>
    <w:rsid w:val="00C1103D"/>
    <w:rsid w:val="00C11236"/>
    <w:rsid w:val="00C1178F"/>
    <w:rsid w:val="00C12186"/>
    <w:rsid w:val="00C12C95"/>
    <w:rsid w:val="00C13159"/>
    <w:rsid w:val="00C14A70"/>
    <w:rsid w:val="00C14F60"/>
    <w:rsid w:val="00C154E0"/>
    <w:rsid w:val="00C1559D"/>
    <w:rsid w:val="00C15683"/>
    <w:rsid w:val="00C158F9"/>
    <w:rsid w:val="00C15914"/>
    <w:rsid w:val="00C16321"/>
    <w:rsid w:val="00C163AC"/>
    <w:rsid w:val="00C16FB9"/>
    <w:rsid w:val="00C17338"/>
    <w:rsid w:val="00C17C93"/>
    <w:rsid w:val="00C20153"/>
    <w:rsid w:val="00C20454"/>
    <w:rsid w:val="00C20E64"/>
    <w:rsid w:val="00C210A7"/>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66D"/>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C3D"/>
    <w:rsid w:val="00C77EA6"/>
    <w:rsid w:val="00C8068B"/>
    <w:rsid w:val="00C813F7"/>
    <w:rsid w:val="00C818BF"/>
    <w:rsid w:val="00C81CD4"/>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A7E47"/>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29"/>
    <w:rsid w:val="00CF3F55"/>
    <w:rsid w:val="00CF5D14"/>
    <w:rsid w:val="00CF65C9"/>
    <w:rsid w:val="00CF7C53"/>
    <w:rsid w:val="00CF7E94"/>
    <w:rsid w:val="00D004C7"/>
    <w:rsid w:val="00D01255"/>
    <w:rsid w:val="00D024BB"/>
    <w:rsid w:val="00D02C60"/>
    <w:rsid w:val="00D0315A"/>
    <w:rsid w:val="00D04315"/>
    <w:rsid w:val="00D04985"/>
    <w:rsid w:val="00D04DC8"/>
    <w:rsid w:val="00D04FC9"/>
    <w:rsid w:val="00D05669"/>
    <w:rsid w:val="00D05BFF"/>
    <w:rsid w:val="00D06935"/>
    <w:rsid w:val="00D07308"/>
    <w:rsid w:val="00D077DC"/>
    <w:rsid w:val="00D07CEA"/>
    <w:rsid w:val="00D07D78"/>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037"/>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0E1"/>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811"/>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1A"/>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48E3"/>
    <w:rsid w:val="00DC7162"/>
    <w:rsid w:val="00DC7D48"/>
    <w:rsid w:val="00DD01CF"/>
    <w:rsid w:val="00DD0626"/>
    <w:rsid w:val="00DD0D47"/>
    <w:rsid w:val="00DD132A"/>
    <w:rsid w:val="00DD26F1"/>
    <w:rsid w:val="00DD2AC5"/>
    <w:rsid w:val="00DD2F2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4C6C"/>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33D"/>
    <w:rsid w:val="00E20450"/>
    <w:rsid w:val="00E212FF"/>
    <w:rsid w:val="00E21E3B"/>
    <w:rsid w:val="00E2291A"/>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DC2"/>
    <w:rsid w:val="00E85E4F"/>
    <w:rsid w:val="00E861FB"/>
    <w:rsid w:val="00E8623D"/>
    <w:rsid w:val="00E87D37"/>
    <w:rsid w:val="00E90724"/>
    <w:rsid w:val="00E90839"/>
    <w:rsid w:val="00E922B2"/>
    <w:rsid w:val="00E9249F"/>
    <w:rsid w:val="00E9264B"/>
    <w:rsid w:val="00E93120"/>
    <w:rsid w:val="00E93AA8"/>
    <w:rsid w:val="00E94EF1"/>
    <w:rsid w:val="00E95249"/>
    <w:rsid w:val="00E958A4"/>
    <w:rsid w:val="00E961C4"/>
    <w:rsid w:val="00E969F4"/>
    <w:rsid w:val="00E96E79"/>
    <w:rsid w:val="00E973B0"/>
    <w:rsid w:val="00E9740B"/>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58B"/>
    <w:rsid w:val="00EB2782"/>
    <w:rsid w:val="00EB3241"/>
    <w:rsid w:val="00EB38C3"/>
    <w:rsid w:val="00EB3DDC"/>
    <w:rsid w:val="00EB3FDA"/>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6F6"/>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4A7D"/>
    <w:rsid w:val="00EF5CBA"/>
    <w:rsid w:val="00EF60B6"/>
    <w:rsid w:val="00EF7889"/>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3947"/>
    <w:rsid w:val="00F144F7"/>
    <w:rsid w:val="00F14D62"/>
    <w:rsid w:val="00F16732"/>
    <w:rsid w:val="00F17679"/>
    <w:rsid w:val="00F17D88"/>
    <w:rsid w:val="00F20518"/>
    <w:rsid w:val="00F20A04"/>
    <w:rsid w:val="00F2183D"/>
    <w:rsid w:val="00F21E42"/>
    <w:rsid w:val="00F22702"/>
    <w:rsid w:val="00F2279A"/>
    <w:rsid w:val="00F22C8B"/>
    <w:rsid w:val="00F24883"/>
    <w:rsid w:val="00F25026"/>
    <w:rsid w:val="00F269CA"/>
    <w:rsid w:val="00F26D70"/>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3A02"/>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441A"/>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4DC"/>
    <w:rsid w:val="00F976E4"/>
    <w:rsid w:val="00F978F8"/>
    <w:rsid w:val="00FA0584"/>
    <w:rsid w:val="00FA12D7"/>
    <w:rsid w:val="00FA2937"/>
    <w:rsid w:val="00FA2CB8"/>
    <w:rsid w:val="00FA3102"/>
    <w:rsid w:val="00FA378B"/>
    <w:rsid w:val="00FA37AD"/>
    <w:rsid w:val="00FA3A19"/>
    <w:rsid w:val="00FA3A2A"/>
    <w:rsid w:val="00FA3CC1"/>
    <w:rsid w:val="00FA3EFB"/>
    <w:rsid w:val="00FA4DE5"/>
    <w:rsid w:val="00FA5422"/>
    <w:rsid w:val="00FA6090"/>
    <w:rsid w:val="00FA719D"/>
    <w:rsid w:val="00FA7ADA"/>
    <w:rsid w:val="00FB03B6"/>
    <w:rsid w:val="00FB10ED"/>
    <w:rsid w:val="00FB249A"/>
    <w:rsid w:val="00FB2545"/>
    <w:rsid w:val="00FB2BF2"/>
    <w:rsid w:val="00FB3EDF"/>
    <w:rsid w:val="00FB41AB"/>
    <w:rsid w:val="00FB4961"/>
    <w:rsid w:val="00FB49E2"/>
    <w:rsid w:val="00FB5902"/>
    <w:rsid w:val="00FB65B9"/>
    <w:rsid w:val="00FB6732"/>
    <w:rsid w:val="00FB6E34"/>
    <w:rsid w:val="00FB7782"/>
    <w:rsid w:val="00FC1C05"/>
    <w:rsid w:val="00FC3C3D"/>
    <w:rsid w:val="00FC5A6B"/>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A0C"/>
    <w:rsid w:val="00FE4D1E"/>
    <w:rsid w:val="00FE52CD"/>
    <w:rsid w:val="00FE52D5"/>
    <w:rsid w:val="00FE59F4"/>
    <w:rsid w:val="00FE6E20"/>
    <w:rsid w:val="00FE763E"/>
    <w:rsid w:val="00FF28BC"/>
    <w:rsid w:val="00FF2964"/>
    <w:rsid w:val="00FF3DB7"/>
    <w:rsid w:val="00FF44DD"/>
    <w:rsid w:val="00FF486B"/>
    <w:rsid w:val="00FF4A1A"/>
    <w:rsid w:val="00FF5421"/>
    <w:rsid w:val="00FF58F1"/>
    <w:rsid w:val="00FF6219"/>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51DE"/>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8351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51DE"/>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목록 단락,リスト段落,列出段落,?? ??,?????,????"/>
    <w:basedOn w:val="Normal"/>
    <w:link w:val="ListParagraphChar"/>
    <w:uiPriority w:val="34"/>
    <w:qFormat/>
    <w:rsid w:val="007F740E"/>
    <w:pPr>
      <w:ind w:left="720"/>
      <w:contextualSpacing/>
    </w:pPr>
  </w:style>
  <w:style w:type="character" w:customStyle="1" w:styleId="ListParagraphChar">
    <w:name w:val="List Paragraph Char"/>
    <w:aliases w:val="- Bullets Char,목록 단락 Char,リスト段落 Char,列出段落 Char,?? ?? Char,????? Char,????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paragraph" w:customStyle="1" w:styleId="Proposal">
    <w:name w:val="Proposal"/>
    <w:basedOn w:val="Normal"/>
    <w:link w:val="ProposalChar"/>
    <w:qFormat/>
    <w:rsid w:val="00E94EF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numbering" w:customStyle="1" w:styleId="StyleBulletedSymbolsymbolLeft025Hanging025">
    <w:name w:val="Style Bulleted Symbol (symbol) Left:  0.25&quot; Hanging:  0.25&quot;"/>
    <w:basedOn w:val="NoList"/>
    <w:rsid w:val="00E94EF1"/>
    <w:pPr>
      <w:numPr>
        <w:numId w:val="28"/>
      </w:numPr>
    </w:pPr>
  </w:style>
  <w:style w:type="character" w:customStyle="1" w:styleId="ProposalChar">
    <w:name w:val="Proposal Char"/>
    <w:link w:val="Proposal"/>
    <w:rsid w:val="00E94EF1"/>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29874520">
      <w:bodyDiv w:val="1"/>
      <w:marLeft w:val="0"/>
      <w:marRight w:val="0"/>
      <w:marTop w:val="0"/>
      <w:marBottom w:val="0"/>
      <w:divBdr>
        <w:top w:val="none" w:sz="0" w:space="0" w:color="auto"/>
        <w:left w:val="none" w:sz="0" w:space="0" w:color="auto"/>
        <w:bottom w:val="none" w:sz="0" w:space="0" w:color="auto"/>
        <w:right w:val="none" w:sz="0" w:space="0" w:color="auto"/>
      </w:divBdr>
    </w:div>
    <w:div w:id="536242307">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388345">
      <w:bodyDiv w:val="1"/>
      <w:marLeft w:val="0"/>
      <w:marRight w:val="0"/>
      <w:marTop w:val="0"/>
      <w:marBottom w:val="0"/>
      <w:divBdr>
        <w:top w:val="none" w:sz="0" w:space="0" w:color="auto"/>
        <w:left w:val="none" w:sz="0" w:space="0" w:color="auto"/>
        <w:bottom w:val="none" w:sz="0" w:space="0" w:color="auto"/>
        <w:right w:val="none" w:sz="0" w:space="0" w:color="auto"/>
      </w:divBdr>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35353130">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4F0BC4-C27B-4FA0-8A94-4ABDEC393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1243</Words>
  <Characters>7089</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2018-04-05T09:47:00Z</dcterms:created>
  <dcterms:modified xsi:type="dcterms:W3CDTF">2018-05-11T16:30:00Z</dcterms:modified>
</cp:coreProperties>
</file>